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18.6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79348"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971046"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2014 - 2020</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 храните и горите.</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6.2</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Решение ОК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30/04/2019 - 17:03:52 CEST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Calibri" w:hAnsi="Calibri"/>
          <w:noProof/>
          <w:sz w:val="22"/>
        </w:rPr>
      </w:pPr>
      <w:r>
        <w:fldChar w:fldCharType="begin"/>
      </w:r>
      <w:r>
        <w:instrText>TOC \o "1-3" \h \z \u</w:instrText>
      </w:r>
      <w:r>
        <w:fldChar w:fldCharType="separate"/>
      </w:r>
      <w:r>
        <w:fldChar w:fldCharType="begin"/>
      </w:r>
      <w:r>
        <w:instrText xml:space="preserve"> HYPERLINK \l "_Toc256000263" </w:instrText>
      </w:r>
      <w:r>
        <w:fldChar w:fldCharType="separate"/>
      </w:r>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_Toc256000263 \h </w:instrText>
      </w:r>
      <w:r>
        <w:fldChar w:fldCharType="separate"/>
      </w:r>
      <w:r>
        <w:t>12</w:t>
      </w:r>
      <w:r>
        <w:fldChar w:fldCharType="end"/>
      </w:r>
      <w:r>
        <w:fldChar w:fldCharType="end"/>
      </w:r>
    </w:p>
    <w:p>
      <w:pPr>
        <w:pStyle w:val="TOC2"/>
        <w:rPr>
          <w:rFonts w:ascii="Calibri" w:hAnsi="Calibri"/>
          <w:noProof/>
          <w:sz w:val="22"/>
        </w:rPr>
      </w:pPr>
      <w:r>
        <w:fldChar w:fldCharType="begin"/>
      </w:r>
      <w:r>
        <w:instrText xml:space="preserve"> HYPERLINK \l "_Toc256000264" </w:instrText>
      </w:r>
      <w:r>
        <w:fldChar w:fldCharType="separate"/>
      </w:r>
      <w:r>
        <w:rPr>
          <w:rStyle w:val="Hyperlink"/>
        </w:rPr>
        <w:t>1.1.</w:t>
      </w:r>
      <w:r>
        <w:rPr>
          <w:rStyle w:val="Hyperlink"/>
        </w:rPr>
        <w:t xml:space="preserve"> </w:t>
      </w:r>
      <w:r>
        <w:rPr>
          <w:rStyle w:val="Hyperlink"/>
        </w:rPr>
        <w:t>Изменение</w:t>
      </w:r>
      <w:r>
        <w:tab/>
      </w:r>
      <w:r>
        <w:fldChar w:fldCharType="begin"/>
      </w:r>
      <w:r>
        <w:instrText xml:space="preserve"> PAGEREF _Toc256000264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"_Toc256000265" </w:instrText>
      </w:r>
      <w:r>
        <w:fldChar w:fldCharType="separate"/>
      </w:r>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_Toc256000265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"_Toc256000266" </w:instrText>
      </w:r>
      <w:r>
        <w:fldChar w:fldCharType="separate"/>
      </w:r>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_Toc256000266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"_Toc256000267" </w:instrText>
      </w:r>
      <w:r>
        <w:fldChar w:fldCharType="separate"/>
      </w:r>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_Toc256000267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"_Toc256000268" </w:instrText>
      </w:r>
      <w:r>
        <w:fldChar w:fldCharType="separate"/>
      </w:r>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_Toc256000268 \h </w:instrText>
      </w:r>
      <w:r>
        <w:fldChar w:fldCharType="separate"/>
      </w:r>
      <w:r>
        <w:t>12</w:t>
      </w:r>
      <w:r>
        <w:fldChar w:fldCharType="end"/>
      </w:r>
      <w:r>
        <w:fldChar w:fldCharType="end"/>
      </w:r>
    </w:p>
    <w:p>
      <w:pPr>
        <w:pStyle w:val="TOC3"/>
        <w:rPr>
          <w:rFonts w:ascii="Calibri" w:hAnsi="Calibri"/>
          <w:noProof/>
          <w:sz w:val="22"/>
        </w:rPr>
      </w:pPr>
      <w:r>
        <w:fldChar w:fldCharType="begin"/>
      </w:r>
      <w:r>
        <w:instrText xml:space="preserve"> HYPERLINK \l "_Toc256000269" </w:instrText>
      </w:r>
      <w:r>
        <w:fldChar w:fldCharType="separate"/>
      </w:r>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_Toc256000269 \h </w:instrText>
      </w:r>
      <w:r>
        <w:fldChar w:fldCharType="separate"/>
      </w:r>
      <w:r>
        <w:t>13</w:t>
      </w:r>
      <w:r>
        <w:fldChar w:fldCharType="end"/>
      </w:r>
      <w:r>
        <w:fldChar w:fldCharType="end"/>
      </w:r>
    </w:p>
    <w:p>
      <w:pPr>
        <w:pStyle w:val="TOC1"/>
        <w:rPr>
          <w:rFonts w:ascii="Calibri" w:hAnsi="Calibri"/>
          <w:noProof/>
          <w:sz w:val="22"/>
        </w:rPr>
      </w:pPr>
      <w:r>
        <w:fldChar w:fldCharType="begin"/>
      </w:r>
      <w:r>
        <w:instrText xml:space="preserve"> HYPERLINK \l "_Toc256000270" </w:instrText>
      </w:r>
      <w:r>
        <w:fldChar w:fldCharType="separate"/>
      </w:r>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_Toc256000270 \h </w:instrText>
      </w:r>
      <w:r>
        <w:fldChar w:fldCharType="separate"/>
      </w:r>
      <w:r>
        <w:t>26</w:t>
      </w:r>
      <w:r>
        <w:fldChar w:fldCharType="end"/>
      </w:r>
      <w:r>
        <w:fldChar w:fldCharType="end"/>
      </w:r>
    </w:p>
    <w:p>
      <w:pPr>
        <w:pStyle w:val="TOC2"/>
        <w:rPr>
          <w:rFonts w:ascii="Calibri" w:hAnsi="Calibri"/>
          <w:noProof/>
          <w:sz w:val="22"/>
        </w:rPr>
      </w:pPr>
      <w:r>
        <w:fldChar w:fldCharType="begin"/>
      </w:r>
      <w:r>
        <w:instrText xml:space="preserve"> HYPERLINK \l "_Toc256000271" </w:instrText>
      </w:r>
      <w:r>
        <w:fldChar w:fldCharType="separate"/>
      </w:r>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_Toc256000271 \h </w:instrText>
      </w:r>
      <w:r>
        <w:fldChar w:fldCharType="separate"/>
      </w:r>
      <w:r>
        <w:t>26</w:t>
      </w:r>
      <w:r>
        <w:fldChar w:fldCharType="end"/>
      </w:r>
      <w:r>
        <w:fldChar w:fldCharType="end"/>
      </w:r>
    </w:p>
    <w:p>
      <w:pPr>
        <w:pStyle w:val="TOC2"/>
        <w:rPr>
          <w:rFonts w:ascii="Calibri" w:hAnsi="Calibri"/>
          <w:noProof/>
          <w:sz w:val="22"/>
        </w:rPr>
      </w:pPr>
      <w:r>
        <w:fldChar w:fldCharType="begin"/>
      </w:r>
      <w:r>
        <w:instrText xml:space="preserve"> HYPERLINK \l "_Toc256000272" </w:instrText>
      </w:r>
      <w:r>
        <w:fldChar w:fldCharType="separate"/>
      </w:r>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_Toc256000272 \h </w:instrText>
      </w:r>
      <w:r>
        <w:fldChar w:fldCharType="separate"/>
      </w:r>
      <w:r>
        <w:t>26</w:t>
      </w:r>
      <w:r>
        <w:fldChar w:fldCharType="end"/>
      </w:r>
      <w:r>
        <w:fldChar w:fldCharType="end"/>
      </w:r>
    </w:p>
    <w:p>
      <w:pPr>
        <w:pStyle w:val="TOC1"/>
        <w:rPr>
          <w:rFonts w:ascii="Calibri" w:hAnsi="Calibri"/>
          <w:noProof/>
          <w:sz w:val="22"/>
        </w:rPr>
      </w:pPr>
      <w:r>
        <w:fldChar w:fldCharType="begin"/>
      </w:r>
      <w:r>
        <w:instrText xml:space="preserve"> HYPERLINK \l "_Toc256000273" </w:instrText>
      </w:r>
      <w:r>
        <w:fldChar w:fldCharType="separate"/>
      </w:r>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_Toc256000273 \h </w:instrText>
      </w:r>
      <w:r>
        <w:fldChar w:fldCharType="separate"/>
      </w:r>
      <w:r>
        <w:t>27</w:t>
      </w:r>
      <w:r>
        <w:fldChar w:fldCharType="end"/>
      </w:r>
      <w:r>
        <w:fldChar w:fldCharType="end"/>
      </w:r>
    </w:p>
    <w:p>
      <w:pPr>
        <w:pStyle w:val="TOC2"/>
        <w:rPr>
          <w:rFonts w:ascii="Calibri" w:hAnsi="Calibri"/>
          <w:noProof/>
          <w:sz w:val="22"/>
        </w:rPr>
      </w:pPr>
      <w:r>
        <w:fldChar w:fldCharType="begin"/>
      </w:r>
      <w:r>
        <w:instrText xml:space="preserve"> HYPERLINK \l "_Toc256000274" </w:instrText>
      </w:r>
      <w:r>
        <w:fldChar w:fldCharType="separate"/>
      </w:r>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_Toc256000274 \h </w:instrText>
      </w:r>
      <w:r>
        <w:fldChar w:fldCharType="separate"/>
      </w:r>
      <w:r>
        <w:t>27</w:t>
      </w:r>
      <w:r>
        <w:fldChar w:fldCharType="end"/>
      </w:r>
      <w:r>
        <w:fldChar w:fldCharType="end"/>
      </w:r>
    </w:p>
    <w:p>
      <w:pPr>
        <w:pStyle w:val="TOC2"/>
        <w:rPr>
          <w:rFonts w:ascii="Calibri" w:hAnsi="Calibri"/>
          <w:noProof/>
          <w:sz w:val="22"/>
        </w:rPr>
      </w:pPr>
      <w:r>
        <w:fldChar w:fldCharType="begin"/>
      </w:r>
      <w:r>
        <w:instrText xml:space="preserve"> HYPERLINK \l "_Toc256000275" </w:instrText>
      </w:r>
      <w:r>
        <w:fldChar w:fldCharType="separate"/>
      </w:r>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_Toc256000275 \h </w:instrText>
      </w:r>
      <w:r>
        <w:fldChar w:fldCharType="separate"/>
      </w:r>
      <w:r>
        <w:t>29</w:t>
      </w:r>
      <w:r>
        <w:fldChar w:fldCharType="end"/>
      </w:r>
      <w:r>
        <w:fldChar w:fldCharType="end"/>
      </w:r>
    </w:p>
    <w:p>
      <w:pPr>
        <w:pStyle w:val="TOC3"/>
        <w:rPr>
          <w:rFonts w:ascii="Calibri" w:hAnsi="Calibri"/>
          <w:noProof/>
          <w:sz w:val="22"/>
        </w:rPr>
      </w:pPr>
      <w:r>
        <w:fldChar w:fldCharType="begin"/>
      </w:r>
      <w:r>
        <w:instrText xml:space="preserve"> HYPERLINK \l "_Toc256000276" </w:instrText>
      </w:r>
      <w:r>
        <w:fldChar w:fldCharType="separate"/>
      </w:r>
      <w:r>
        <w:rPr>
          <w:rStyle w:val="Hyperlink"/>
        </w:rPr>
        <w:t>3.2.1.</w:t>
      </w:r>
      <w:r>
        <w:rPr>
          <w:rStyle w:val="Hyperlink"/>
        </w:rPr>
        <w:t xml:space="preserve"> </w:t>
      </w:r>
      <w:r>
        <w:rPr>
          <w:rStyle w:val="Hyperlink"/>
        </w:rPr>
        <w:t>1. АНС</w:t>
      </w:r>
      <w:r>
        <w:tab/>
      </w:r>
      <w:r>
        <w:fldChar w:fldCharType="begin"/>
      </w:r>
      <w:r>
        <w:instrText xml:space="preserve"> PAGEREF _Toc256000276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"_Toc256000277" </w:instrText>
      </w:r>
      <w:r>
        <w:fldChar w:fldCharType="separate"/>
      </w:r>
      <w:r>
        <w:rPr>
          <w:rStyle w:val="Hyperlink"/>
        </w:rPr>
        <w:t>3.2.2.</w:t>
      </w:r>
      <w:r>
        <w:rPr>
          <w:rStyle w:val="Hyperlink"/>
        </w:rPr>
        <w:t xml:space="preserve"> </w:t>
      </w:r>
      <w:r>
        <w:rPr>
          <w:rStyle w:val="Hyperlink"/>
        </w:rPr>
        <w:t>2. АНС</w:t>
      </w:r>
      <w:r>
        <w:tab/>
      </w:r>
      <w:r>
        <w:fldChar w:fldCharType="begin"/>
      </w:r>
      <w:r>
        <w:instrText xml:space="preserve"> PAGEREF _Toc256000277 \h </w:instrText>
      </w:r>
      <w:r>
        <w:fldChar w:fldCharType="separate"/>
      </w:r>
      <w:r>
        <w:t>30</w:t>
      </w:r>
      <w:r>
        <w:fldChar w:fldCharType="end"/>
      </w:r>
      <w:r>
        <w:fldChar w:fldCharType="end"/>
      </w:r>
    </w:p>
    <w:p>
      <w:pPr>
        <w:pStyle w:val="TOC3"/>
        <w:rPr>
          <w:rFonts w:ascii="Calibri" w:hAnsi="Calibri"/>
          <w:noProof/>
          <w:sz w:val="22"/>
        </w:rPr>
      </w:pPr>
      <w:r>
        <w:fldChar w:fldCharType="begin"/>
      </w:r>
      <w:r>
        <w:instrText xml:space="preserve"> HYPERLINK \l "_Toc256000278" </w:instrText>
      </w:r>
      <w:r>
        <w:fldChar w:fldCharType="separate"/>
      </w:r>
      <w:r>
        <w:rPr>
          <w:rStyle w:val="Hyperlink"/>
        </w:rPr>
        <w:t>3.2.3.</w:t>
      </w:r>
      <w:r>
        <w:rPr>
          <w:rStyle w:val="Hyperlink"/>
        </w:rPr>
        <w:t xml:space="preserve"> </w:t>
      </w:r>
      <w:r>
        <w:rPr>
          <w:rStyle w:val="Hyperlink"/>
        </w:rPr>
        <w:t>3.АНС</w:t>
      </w:r>
      <w:r>
        <w:tab/>
      </w:r>
      <w:r>
        <w:fldChar w:fldCharType="begin"/>
      </w:r>
      <w:r>
        <w:instrText xml:space="preserve"> PAGEREF _Toc256000278 \h </w:instrText>
      </w:r>
      <w:r>
        <w:fldChar w:fldCharType="separate"/>
      </w:r>
      <w:r>
        <w:t>31</w:t>
      </w:r>
      <w:r>
        <w:fldChar w:fldCharType="end"/>
      </w:r>
      <w:r>
        <w:fldChar w:fldCharType="end"/>
      </w:r>
    </w:p>
    <w:p>
      <w:pPr>
        <w:pStyle w:val="TOC3"/>
        <w:rPr>
          <w:rFonts w:ascii="Calibri" w:hAnsi="Calibri"/>
          <w:noProof/>
          <w:sz w:val="22"/>
        </w:rPr>
      </w:pPr>
      <w:r>
        <w:fldChar w:fldCharType="begin"/>
      </w:r>
      <w:r>
        <w:instrText xml:space="preserve"> HYPERLINK \l "_Toc256000279" </w:instrText>
      </w:r>
      <w:r>
        <w:fldChar w:fldCharType="separate"/>
      </w:r>
      <w:r>
        <w:rPr>
          <w:rStyle w:val="Hyperlink"/>
        </w:rPr>
        <w:t>3.2.4.</w:t>
      </w:r>
      <w:r>
        <w:rPr>
          <w:rStyle w:val="Hyperlink"/>
        </w:rPr>
        <w:t xml:space="preserve"> </w:t>
      </w:r>
      <w:r>
        <w:rPr>
          <w:rStyle w:val="Hyperlink"/>
        </w:rPr>
        <w:t>4. АНС</w:t>
      </w:r>
      <w:r>
        <w:tab/>
      </w:r>
      <w:r>
        <w:fldChar w:fldCharType="begin"/>
      </w:r>
      <w:r>
        <w:instrText xml:space="preserve"> PAGEREF _Toc256000279 \h </w:instrText>
      </w:r>
      <w:r>
        <w:fldChar w:fldCharType="separate"/>
      </w:r>
      <w:r>
        <w:t>31</w:t>
      </w:r>
      <w:r>
        <w:fldChar w:fldCharType="end"/>
      </w:r>
      <w:r>
        <w:fldChar w:fldCharType="end"/>
      </w:r>
    </w:p>
    <w:p>
      <w:pPr>
        <w:pStyle w:val="TOC3"/>
        <w:rPr>
          <w:rFonts w:ascii="Calibri" w:hAnsi="Calibri"/>
          <w:noProof/>
          <w:sz w:val="22"/>
        </w:rPr>
      </w:pPr>
      <w:r>
        <w:fldChar w:fldCharType="begin"/>
      </w:r>
      <w:r>
        <w:instrText xml:space="preserve"> HYPERLINK \l "_Toc256000280" </w:instrText>
      </w:r>
      <w:r>
        <w:fldChar w:fldCharType="separate"/>
      </w:r>
      <w:r>
        <w:rPr>
          <w:rStyle w:val="Hyperlink"/>
        </w:rPr>
        <w:t>3.2.5.</w:t>
      </w:r>
      <w:r>
        <w:rPr>
          <w:rStyle w:val="Hyperlink"/>
        </w:rPr>
        <w:t xml:space="preserve"> </w:t>
      </w:r>
      <w:r>
        <w:rPr>
          <w:rStyle w:val="Hyperlink"/>
        </w:rPr>
        <w:t>5. АНС</w:t>
      </w:r>
      <w:r>
        <w:tab/>
      </w:r>
      <w:r>
        <w:fldChar w:fldCharType="begin"/>
      </w:r>
      <w:r>
        <w:instrText xml:space="preserve"> PAGEREF _Toc256000280 \h </w:instrText>
      </w:r>
      <w:r>
        <w:fldChar w:fldCharType="separate"/>
      </w:r>
      <w:r>
        <w:t>32</w:t>
      </w:r>
      <w:r>
        <w:fldChar w:fldCharType="end"/>
      </w:r>
      <w:r>
        <w:fldChar w:fldCharType="end"/>
      </w:r>
    </w:p>
    <w:p>
      <w:pPr>
        <w:pStyle w:val="TOC3"/>
        <w:rPr>
          <w:rFonts w:ascii="Calibri" w:hAnsi="Calibri"/>
          <w:noProof/>
          <w:sz w:val="22"/>
        </w:rPr>
      </w:pPr>
      <w:r>
        <w:fldChar w:fldCharType="begin"/>
      </w:r>
      <w:r>
        <w:instrText xml:space="preserve"> HYPERLINK \l "_Toc256000281" </w:instrText>
      </w:r>
      <w:r>
        <w:fldChar w:fldCharType="separate"/>
      </w:r>
      <w:r>
        <w:rPr>
          <w:rStyle w:val="Hyperlink"/>
        </w:rPr>
        <w:t>3.2.6.</w:t>
      </w:r>
      <w:r>
        <w:rPr>
          <w:rStyle w:val="Hyperlink"/>
        </w:rPr>
        <w:t xml:space="preserve"> </w:t>
      </w:r>
      <w:r>
        <w:rPr>
          <w:rStyle w:val="Hyperlink"/>
        </w:rPr>
        <w:t>6. АНС</w:t>
      </w:r>
      <w:r>
        <w:tab/>
      </w:r>
      <w:r>
        <w:fldChar w:fldCharType="begin"/>
      </w:r>
      <w:r>
        <w:instrText xml:space="preserve"> PAGEREF _Toc256000281 \h </w:instrText>
      </w:r>
      <w:r>
        <w:fldChar w:fldCharType="separate"/>
      </w:r>
      <w:r>
        <w:t>32</w:t>
      </w:r>
      <w:r>
        <w:fldChar w:fldCharType="end"/>
      </w:r>
      <w:r>
        <w:fldChar w:fldCharType="end"/>
      </w:r>
    </w:p>
    <w:p>
      <w:pPr>
        <w:pStyle w:val="TOC3"/>
        <w:rPr>
          <w:rFonts w:ascii="Calibri" w:hAnsi="Calibri"/>
          <w:noProof/>
          <w:sz w:val="22"/>
        </w:rPr>
      </w:pPr>
      <w:r>
        <w:fldChar w:fldCharType="begin"/>
      </w:r>
      <w:r>
        <w:instrText xml:space="preserve"> HYPERLINK \l "_Toc256000282" </w:instrText>
      </w:r>
      <w:r>
        <w:fldChar w:fldCharType="separate"/>
      </w:r>
      <w:r>
        <w:rPr>
          <w:rStyle w:val="Hyperlink"/>
        </w:rPr>
        <w:t>3.2.7.</w:t>
      </w:r>
      <w:r>
        <w:rPr>
          <w:rStyle w:val="Hyperlink"/>
        </w:rPr>
        <w:t xml:space="preserve"> </w:t>
      </w:r>
      <w:r>
        <w:rPr>
          <w:rStyle w:val="Hyperlink"/>
        </w:rPr>
        <w:t>7. АНС</w:t>
      </w:r>
      <w:r>
        <w:tab/>
      </w:r>
      <w:r>
        <w:fldChar w:fldCharType="begin"/>
      </w:r>
      <w:r>
        <w:instrText xml:space="preserve"> PAGEREF _Toc256000282 \h </w:instrText>
      </w:r>
      <w:r>
        <w:fldChar w:fldCharType="separate"/>
      </w:r>
      <w:r>
        <w:t>33</w:t>
      </w:r>
      <w:r>
        <w:fldChar w:fldCharType="end"/>
      </w:r>
      <w:r>
        <w:fldChar w:fldCharType="end"/>
      </w:r>
    </w:p>
    <w:p>
      <w:pPr>
        <w:pStyle w:val="TOC3"/>
        <w:rPr>
          <w:rFonts w:ascii="Calibri" w:hAnsi="Calibri"/>
          <w:noProof/>
          <w:sz w:val="22"/>
        </w:rPr>
      </w:pPr>
      <w:r>
        <w:fldChar w:fldCharType="begin"/>
      </w:r>
      <w:r>
        <w:instrText xml:space="preserve"> HYPERLINK \l "_Toc256000283" </w:instrText>
      </w:r>
      <w:r>
        <w:fldChar w:fldCharType="separate"/>
      </w:r>
      <w:r>
        <w:rPr>
          <w:rStyle w:val="Hyperlink"/>
        </w:rPr>
        <w:t>3.2.8.</w:t>
      </w:r>
      <w:r>
        <w:rPr>
          <w:rStyle w:val="Hyperlink"/>
        </w:rPr>
        <w:t xml:space="preserve"> </w:t>
      </w:r>
      <w:r>
        <w:rPr>
          <w:rStyle w:val="Hyperlink"/>
        </w:rPr>
        <w:t>8. АНС</w:t>
      </w:r>
      <w:r>
        <w:tab/>
      </w:r>
      <w:r>
        <w:fldChar w:fldCharType="begin"/>
      </w:r>
      <w:r>
        <w:instrText xml:space="preserve"> PAGEREF _Toc256000283 \h </w:instrText>
      </w:r>
      <w:r>
        <w:fldChar w:fldCharType="separate"/>
      </w:r>
      <w:r>
        <w:t>33</w:t>
      </w:r>
      <w:r>
        <w:fldChar w:fldCharType="end"/>
      </w:r>
      <w:r>
        <w:fldChar w:fldCharType="end"/>
      </w:r>
    </w:p>
    <w:p>
      <w:pPr>
        <w:pStyle w:val="TOC3"/>
        <w:rPr>
          <w:rFonts w:ascii="Calibri" w:hAnsi="Calibri"/>
          <w:noProof/>
          <w:sz w:val="22"/>
        </w:rPr>
      </w:pPr>
      <w:r>
        <w:fldChar w:fldCharType="begin"/>
      </w:r>
      <w:r>
        <w:instrText xml:space="preserve"> HYPERLINK \l "_Toc256000284" </w:instrText>
      </w:r>
      <w:r>
        <w:fldChar w:fldCharType="separate"/>
      </w:r>
      <w:r>
        <w:rPr>
          <w:rStyle w:val="Hyperlink"/>
        </w:rPr>
        <w:t>3.2.9.</w:t>
      </w:r>
      <w:r>
        <w:rPr>
          <w:rStyle w:val="Hyperlink"/>
        </w:rPr>
        <w:t xml:space="preserve"> </w:t>
      </w:r>
      <w:r>
        <w:rPr>
          <w:rStyle w:val="Hyperlink"/>
        </w:rPr>
        <w:t>9. АНС</w:t>
      </w:r>
      <w:r>
        <w:tab/>
      </w:r>
      <w:r>
        <w:fldChar w:fldCharType="begin"/>
      </w:r>
      <w:r>
        <w:instrText xml:space="preserve"> PAGEREF _Toc256000284 \h </w:instrText>
      </w:r>
      <w:r>
        <w:fldChar w:fldCharType="separate"/>
      </w:r>
      <w:r>
        <w:t>34</w:t>
      </w:r>
      <w:r>
        <w:fldChar w:fldCharType="end"/>
      </w:r>
      <w:r>
        <w:fldChar w:fldCharType="end"/>
      </w:r>
    </w:p>
    <w:p>
      <w:pPr>
        <w:pStyle w:val="TOC3"/>
        <w:rPr>
          <w:rFonts w:ascii="Calibri" w:hAnsi="Calibri"/>
          <w:noProof/>
          <w:sz w:val="22"/>
        </w:rPr>
      </w:pPr>
      <w:r>
        <w:fldChar w:fldCharType="begin"/>
      </w:r>
      <w:r>
        <w:instrText xml:space="preserve"> HYPERLINK \l "_Toc256000285" </w:instrText>
      </w:r>
      <w:r>
        <w:fldChar w:fldCharType="separate"/>
      </w:r>
      <w:r>
        <w:rPr>
          <w:rStyle w:val="Hyperlink"/>
        </w:rPr>
        <w:t>3.2.10.</w:t>
      </w:r>
      <w:r>
        <w:rPr>
          <w:rStyle w:val="Hyperlink"/>
        </w:rPr>
        <w:t xml:space="preserve"> </w:t>
      </w:r>
      <w:r>
        <w:rPr>
          <w:rStyle w:val="Hyperlink"/>
        </w:rPr>
        <w:t>А. SWOT Aнализ</w:t>
      </w:r>
      <w:r>
        <w:tab/>
      </w:r>
      <w:r>
        <w:fldChar w:fldCharType="begin"/>
      </w:r>
      <w:r>
        <w:instrText xml:space="preserve"> PAGEREF _Toc256000285 \h </w:instrText>
      </w:r>
      <w:r>
        <w:fldChar w:fldCharType="separate"/>
      </w:r>
      <w:r>
        <w:t>34</w:t>
      </w:r>
      <w:r>
        <w:fldChar w:fldCharType="end"/>
      </w:r>
      <w:r>
        <w:fldChar w:fldCharType="end"/>
      </w:r>
    </w:p>
    <w:p>
      <w:pPr>
        <w:pStyle w:val="TOC3"/>
        <w:rPr>
          <w:rFonts w:ascii="Calibri" w:hAnsi="Calibri"/>
          <w:noProof/>
          <w:sz w:val="22"/>
        </w:rPr>
      </w:pPr>
      <w:r>
        <w:fldChar w:fldCharType="begin"/>
      </w:r>
      <w:r>
        <w:instrText xml:space="preserve"> HYPERLINK \l "_Toc256000286" </w:instrText>
      </w:r>
      <w:r>
        <w:fldChar w:fldCharType="separate"/>
      </w:r>
      <w:r>
        <w:rPr>
          <w:rStyle w:val="Hyperlink"/>
        </w:rPr>
        <w:t>3.2.11.</w:t>
      </w:r>
      <w:r>
        <w:rPr>
          <w:rStyle w:val="Hyperlink"/>
        </w:rPr>
        <w:t xml:space="preserve"> </w:t>
      </w:r>
      <w:r>
        <w:rPr>
          <w:rStyle w:val="Hyperlink"/>
        </w:rPr>
        <w:t>Б. Потребности</w:t>
      </w:r>
      <w:r>
        <w:tab/>
      </w:r>
      <w:r>
        <w:fldChar w:fldCharType="begin"/>
      </w:r>
      <w:r>
        <w:instrText xml:space="preserve"> PAGEREF _Toc256000286 \h </w:instrText>
      </w:r>
      <w:r>
        <w:fldChar w:fldCharType="separate"/>
      </w:r>
      <w:r>
        <w:t>35</w:t>
      </w:r>
      <w:r>
        <w:fldChar w:fldCharType="end"/>
      </w:r>
      <w:r>
        <w:fldChar w:fldCharType="end"/>
      </w:r>
    </w:p>
    <w:p>
      <w:pPr>
        <w:pStyle w:val="TOC3"/>
        <w:rPr>
          <w:rFonts w:ascii="Calibri" w:hAnsi="Calibri"/>
          <w:noProof/>
          <w:sz w:val="22"/>
        </w:rPr>
      </w:pPr>
      <w:r>
        <w:fldChar w:fldCharType="begin"/>
      </w:r>
      <w:r>
        <w:instrText xml:space="preserve"> HYPERLINK \l "_Toc256000287" </w:instrText>
      </w:r>
      <w:r>
        <w:fldChar w:fldCharType="separate"/>
      </w:r>
      <w:r>
        <w:rPr>
          <w:rStyle w:val="Hyperlink"/>
        </w:rPr>
        <w:t>3.2.12.</w:t>
      </w:r>
      <w:r>
        <w:rPr>
          <w:rStyle w:val="Hyperlink"/>
        </w:rPr>
        <w:t xml:space="preserve"> </w:t>
      </w:r>
      <w:r>
        <w:rPr>
          <w:rStyle w:val="Hyperlink"/>
        </w:rPr>
        <w:t>В. Стратегия 1</w:t>
      </w:r>
      <w:r>
        <w:tab/>
      </w:r>
      <w:r>
        <w:fldChar w:fldCharType="begin"/>
      </w:r>
      <w:r>
        <w:instrText xml:space="preserve"> PAGEREF _Toc256000287 \h </w:instrText>
      </w:r>
      <w:r>
        <w:fldChar w:fldCharType="separate"/>
      </w:r>
      <w:r>
        <w:t>36</w:t>
      </w:r>
      <w:r>
        <w:fldChar w:fldCharType="end"/>
      </w:r>
      <w:r>
        <w:fldChar w:fldCharType="end"/>
      </w:r>
    </w:p>
    <w:p>
      <w:pPr>
        <w:pStyle w:val="TOC3"/>
        <w:rPr>
          <w:rFonts w:ascii="Calibri" w:hAnsi="Calibri"/>
          <w:noProof/>
          <w:sz w:val="22"/>
        </w:rPr>
      </w:pPr>
      <w:r>
        <w:fldChar w:fldCharType="begin"/>
      </w:r>
      <w:r>
        <w:instrText xml:space="preserve"> HYPERLINK \l "_Toc256000288" </w:instrText>
      </w:r>
      <w:r>
        <w:fldChar w:fldCharType="separate"/>
      </w:r>
      <w:r>
        <w:rPr>
          <w:rStyle w:val="Hyperlink"/>
        </w:rPr>
        <w:t>3.2.13.</w:t>
      </w:r>
      <w:r>
        <w:rPr>
          <w:rStyle w:val="Hyperlink"/>
        </w:rPr>
        <w:t xml:space="preserve"> </w:t>
      </w:r>
      <w:r>
        <w:rPr>
          <w:rStyle w:val="Hyperlink"/>
        </w:rPr>
        <w:t>Г. Стратегия 2</w:t>
      </w:r>
      <w:r>
        <w:tab/>
      </w:r>
      <w:r>
        <w:fldChar w:fldCharType="begin"/>
      </w:r>
      <w:r>
        <w:instrText xml:space="preserve"> PAGEREF _Toc256000288 \h </w:instrText>
      </w:r>
      <w:r>
        <w:fldChar w:fldCharType="separate"/>
      </w:r>
      <w:r>
        <w:t>36</w:t>
      </w:r>
      <w:r>
        <w:fldChar w:fldCharType="end"/>
      </w:r>
      <w:r>
        <w:fldChar w:fldCharType="end"/>
      </w:r>
    </w:p>
    <w:p>
      <w:pPr>
        <w:pStyle w:val="TOC3"/>
        <w:rPr>
          <w:rFonts w:ascii="Calibri" w:hAnsi="Calibri"/>
          <w:noProof/>
          <w:sz w:val="22"/>
        </w:rPr>
      </w:pPr>
      <w:r>
        <w:fldChar w:fldCharType="begin"/>
      </w:r>
      <w:r>
        <w:instrText xml:space="preserve"> HYPERLINK \l "_Toc256000289" </w:instrText>
      </w:r>
      <w:r>
        <w:fldChar w:fldCharType="separate"/>
      </w:r>
      <w:r>
        <w:rPr>
          <w:rStyle w:val="Hyperlink"/>
        </w:rPr>
        <w:t>3.2.14.</w:t>
      </w:r>
      <w:r>
        <w:rPr>
          <w:rStyle w:val="Hyperlink"/>
        </w:rPr>
        <w:t xml:space="preserve"> </w:t>
      </w:r>
      <w:r>
        <w:rPr>
          <w:rStyle w:val="Hyperlink"/>
        </w:rPr>
        <w:t>Д. Стратегия 3</w:t>
      </w:r>
      <w:r>
        <w:tab/>
      </w:r>
      <w:r>
        <w:fldChar w:fldCharType="begin"/>
      </w:r>
      <w:r>
        <w:instrText xml:space="preserve"> PAGEREF _Toc256000289 \h </w:instrText>
      </w:r>
      <w:r>
        <w:fldChar w:fldCharType="separate"/>
      </w:r>
      <w:r>
        <w:t>36</w:t>
      </w:r>
      <w:r>
        <w:fldChar w:fldCharType="end"/>
      </w:r>
      <w:r>
        <w:fldChar w:fldCharType="end"/>
      </w:r>
    </w:p>
    <w:p>
      <w:pPr>
        <w:pStyle w:val="TOC3"/>
        <w:rPr>
          <w:rFonts w:ascii="Calibri" w:hAnsi="Calibri"/>
          <w:noProof/>
          <w:sz w:val="22"/>
        </w:rPr>
      </w:pPr>
      <w:r>
        <w:fldChar w:fldCharType="begin"/>
      </w:r>
      <w:r>
        <w:instrText xml:space="preserve"> HYPERLINK \l "_Toc256000290" </w:instrText>
      </w:r>
      <w:r>
        <w:fldChar w:fldCharType="separate"/>
      </w:r>
      <w:r>
        <w:rPr>
          <w:rStyle w:val="Hyperlink"/>
        </w:rPr>
        <w:t>3.2.15.</w:t>
      </w:r>
      <w:r>
        <w:rPr>
          <w:rStyle w:val="Hyperlink"/>
        </w:rPr>
        <w:t xml:space="preserve"> </w:t>
      </w:r>
      <w:r>
        <w:rPr>
          <w:rStyle w:val="Hyperlink"/>
        </w:rPr>
        <w:t>Е. Специфични цели</w:t>
      </w:r>
      <w:r>
        <w:tab/>
      </w:r>
      <w:r>
        <w:fldChar w:fldCharType="begin"/>
      </w:r>
      <w:r>
        <w:instrText xml:space="preserve"> PAGEREF _Toc256000290 \h </w:instrText>
      </w:r>
      <w:r>
        <w:fldChar w:fldCharType="separate"/>
      </w:r>
      <w:r>
        <w:t>37</w:t>
      </w:r>
      <w:r>
        <w:fldChar w:fldCharType="end"/>
      </w:r>
      <w:r>
        <w:fldChar w:fldCharType="end"/>
      </w:r>
    </w:p>
    <w:p>
      <w:pPr>
        <w:pStyle w:val="TOC3"/>
        <w:rPr>
          <w:rFonts w:ascii="Calibri" w:hAnsi="Calibri"/>
          <w:noProof/>
          <w:sz w:val="22"/>
        </w:rPr>
      </w:pPr>
      <w:r>
        <w:fldChar w:fldCharType="begin"/>
      </w:r>
      <w:r>
        <w:instrText xml:space="preserve"> HYPERLINK \l "_Toc256000291" </w:instrText>
      </w:r>
      <w:r>
        <w:fldChar w:fldCharType="separate"/>
      </w:r>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_Toc256000291 \h </w:instrText>
      </w:r>
      <w:r>
        <w:fldChar w:fldCharType="separate"/>
      </w:r>
      <w:r>
        <w:t>37</w:t>
      </w:r>
      <w:r>
        <w:fldChar w:fldCharType="end"/>
      </w:r>
      <w:r>
        <w:fldChar w:fldCharType="end"/>
      </w:r>
    </w:p>
    <w:p>
      <w:pPr>
        <w:pStyle w:val="TOC3"/>
        <w:rPr>
          <w:rFonts w:ascii="Calibri" w:hAnsi="Calibri"/>
          <w:noProof/>
          <w:sz w:val="22"/>
        </w:rPr>
      </w:pPr>
      <w:r>
        <w:fldChar w:fldCharType="begin"/>
      </w:r>
      <w:r>
        <w:instrText xml:space="preserve"> HYPERLINK \l "_Toc256000292" </w:instrText>
      </w:r>
      <w:r>
        <w:fldChar w:fldCharType="separate"/>
      </w:r>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_Toc256000292 \h </w:instrText>
      </w:r>
      <w:r>
        <w:fldChar w:fldCharType="separate"/>
      </w:r>
      <w:r>
        <w:t>38</w:t>
      </w:r>
      <w:r>
        <w:fldChar w:fldCharType="end"/>
      </w:r>
      <w:r>
        <w:fldChar w:fldCharType="end"/>
      </w:r>
    </w:p>
    <w:p>
      <w:pPr>
        <w:pStyle w:val="TOC3"/>
        <w:rPr>
          <w:rFonts w:ascii="Calibri" w:hAnsi="Calibri"/>
          <w:noProof/>
          <w:sz w:val="22"/>
        </w:rPr>
      </w:pPr>
      <w:r>
        <w:fldChar w:fldCharType="begin"/>
      </w:r>
      <w:r>
        <w:instrText xml:space="preserve"> HYPERLINK \l "_Toc256000293" </w:instrText>
      </w:r>
      <w:r>
        <w:fldChar w:fldCharType="separate"/>
      </w:r>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_Toc256000293 \h </w:instrText>
      </w:r>
      <w:r>
        <w:fldChar w:fldCharType="separate"/>
      </w:r>
      <w:r>
        <w:t>38</w:t>
      </w:r>
      <w:r>
        <w:fldChar w:fldCharType="end"/>
      </w:r>
      <w:r>
        <w:fldChar w:fldCharType="end"/>
      </w:r>
    </w:p>
    <w:p>
      <w:pPr>
        <w:pStyle w:val="TOC3"/>
        <w:rPr>
          <w:rFonts w:ascii="Calibri" w:hAnsi="Calibri"/>
          <w:noProof/>
          <w:sz w:val="22"/>
        </w:rPr>
      </w:pPr>
      <w:r>
        <w:fldChar w:fldCharType="begin"/>
      </w:r>
      <w:r>
        <w:instrText xml:space="preserve"> HYPERLINK \l "_Toc256000294" </w:instrText>
      </w:r>
      <w:r>
        <w:fldChar w:fldCharType="separate"/>
      </w:r>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_Toc256000294 \h </w:instrText>
      </w:r>
      <w:r>
        <w:fldChar w:fldCharType="separate"/>
      </w:r>
      <w:r>
        <w:t>39</w:t>
      </w:r>
      <w:r>
        <w:fldChar w:fldCharType="end"/>
      </w:r>
      <w:r>
        <w:fldChar w:fldCharType="end"/>
      </w:r>
    </w:p>
    <w:p>
      <w:pPr>
        <w:pStyle w:val="TOC3"/>
        <w:rPr>
          <w:rFonts w:ascii="Calibri" w:hAnsi="Calibri"/>
          <w:noProof/>
          <w:sz w:val="22"/>
        </w:rPr>
      </w:pPr>
      <w:r>
        <w:fldChar w:fldCharType="begin"/>
      </w:r>
      <w:r>
        <w:instrText xml:space="preserve"> HYPERLINK \l "_Toc256000295" </w:instrText>
      </w:r>
      <w:r>
        <w:fldChar w:fldCharType="separate"/>
      </w:r>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_Toc256000295 \h </w:instrText>
      </w:r>
      <w:r>
        <w:fldChar w:fldCharType="separate"/>
      </w:r>
      <w:r>
        <w:t>39</w:t>
      </w:r>
      <w:r>
        <w:fldChar w:fldCharType="end"/>
      </w:r>
      <w:r>
        <w:fldChar w:fldCharType="end"/>
      </w:r>
    </w:p>
    <w:p>
      <w:pPr>
        <w:pStyle w:val="TOC3"/>
        <w:rPr>
          <w:rFonts w:ascii="Calibri" w:hAnsi="Calibri"/>
          <w:noProof/>
          <w:sz w:val="22"/>
        </w:rPr>
      </w:pPr>
      <w:r>
        <w:fldChar w:fldCharType="begin"/>
      </w:r>
      <w:r>
        <w:instrText xml:space="preserve"> HYPERLINK \l "_Toc256000296" </w:instrText>
      </w:r>
      <w:r>
        <w:fldChar w:fldCharType="separate"/>
      </w:r>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_Toc256000296 \h </w:instrText>
      </w:r>
      <w:r>
        <w:fldChar w:fldCharType="separate"/>
      </w:r>
      <w:r>
        <w:t>40</w:t>
      </w:r>
      <w:r>
        <w:fldChar w:fldCharType="end"/>
      </w:r>
      <w:r>
        <w:fldChar w:fldCharType="end"/>
      </w:r>
    </w:p>
    <w:p>
      <w:pPr>
        <w:pStyle w:val="TOC3"/>
        <w:rPr>
          <w:rFonts w:ascii="Calibri" w:hAnsi="Calibri"/>
          <w:noProof/>
          <w:sz w:val="22"/>
        </w:rPr>
      </w:pPr>
      <w:r>
        <w:fldChar w:fldCharType="begin"/>
      </w:r>
      <w:r>
        <w:instrText xml:space="preserve"> HYPERLINK \l "_Toc256000297" </w:instrText>
      </w:r>
      <w:r>
        <w:fldChar w:fldCharType="separate"/>
      </w:r>
      <w:r>
        <w:rPr>
          <w:rStyle w:val="Hyperlink"/>
        </w:rPr>
        <w:t>3.2.22.</w:t>
      </w:r>
      <w:r>
        <w:rPr>
          <w:rStyle w:val="Hyperlink"/>
        </w:rPr>
        <w:t xml:space="preserve"> </w:t>
      </w:r>
      <w:r>
        <w:rPr>
          <w:rStyle w:val="Hyperlink"/>
        </w:rPr>
        <w:t>М. План за оценка</w:t>
      </w:r>
      <w:r>
        <w:tab/>
      </w:r>
      <w:r>
        <w:fldChar w:fldCharType="begin"/>
      </w:r>
      <w:r>
        <w:instrText xml:space="preserve"> PAGEREF _Toc256000297 \h </w:instrText>
      </w:r>
      <w:r>
        <w:fldChar w:fldCharType="separate"/>
      </w:r>
      <w:r>
        <w:t>40</w:t>
      </w:r>
      <w:r>
        <w:fldChar w:fldCharType="end"/>
      </w:r>
      <w:r>
        <w:fldChar w:fldCharType="end"/>
      </w:r>
    </w:p>
    <w:p>
      <w:pPr>
        <w:pStyle w:val="TOC3"/>
        <w:rPr>
          <w:rFonts w:ascii="Calibri" w:hAnsi="Calibri"/>
          <w:noProof/>
          <w:sz w:val="22"/>
        </w:rPr>
      </w:pPr>
      <w:r>
        <w:fldChar w:fldCharType="begin"/>
      </w:r>
      <w:r>
        <w:instrText xml:space="preserve"> HYPERLINK \l "_Toc256000298" </w:instrText>
      </w:r>
      <w:r>
        <w:fldChar w:fldCharType="separate"/>
      </w:r>
      <w:r>
        <w:rPr>
          <w:rStyle w:val="Hyperlink"/>
        </w:rPr>
        <w:t>3.2.23.</w:t>
      </w:r>
      <w:r>
        <w:rPr>
          <w:rStyle w:val="Hyperlink"/>
        </w:rPr>
        <w:t xml:space="preserve"> </w:t>
      </w:r>
      <w:r>
        <w:rPr>
          <w:rStyle w:val="Hyperlink"/>
        </w:rPr>
        <w:t>Н. Комуникация</w:t>
      </w:r>
      <w:r>
        <w:tab/>
      </w:r>
      <w:r>
        <w:fldChar w:fldCharType="begin"/>
      </w:r>
      <w:r>
        <w:instrText xml:space="preserve"> PAGEREF _Toc256000298 \h </w:instrText>
      </w:r>
      <w:r>
        <w:fldChar w:fldCharType="separate"/>
      </w:r>
      <w:r>
        <w:t>41</w:t>
      </w:r>
      <w:r>
        <w:fldChar w:fldCharType="end"/>
      </w:r>
      <w:r>
        <w:fldChar w:fldCharType="end"/>
      </w:r>
    </w:p>
    <w:p>
      <w:pPr>
        <w:pStyle w:val="TOC3"/>
        <w:rPr>
          <w:rFonts w:ascii="Calibri" w:hAnsi="Calibri"/>
          <w:noProof/>
          <w:sz w:val="22"/>
        </w:rPr>
      </w:pPr>
      <w:r>
        <w:fldChar w:fldCharType="begin"/>
      </w:r>
      <w:r>
        <w:instrText xml:space="preserve"> HYPERLINK \l "_Toc256000299" </w:instrText>
      </w:r>
      <w:r>
        <w:fldChar w:fldCharType="separate"/>
      </w:r>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_Toc256000299 \h </w:instrText>
      </w:r>
      <w:r>
        <w:fldChar w:fldCharType="separate"/>
      </w:r>
      <w:r>
        <w:t>41</w:t>
      </w:r>
      <w:r>
        <w:fldChar w:fldCharType="end"/>
      </w:r>
      <w:r>
        <w:fldChar w:fldCharType="end"/>
      </w:r>
    </w:p>
    <w:p>
      <w:pPr>
        <w:pStyle w:val="TOC2"/>
        <w:rPr>
          <w:rFonts w:ascii="Calibri" w:hAnsi="Calibri"/>
          <w:noProof/>
          <w:sz w:val="22"/>
        </w:rPr>
      </w:pPr>
      <w:r>
        <w:fldChar w:fldCharType="begin"/>
      </w:r>
      <w:r>
        <w:instrText xml:space="preserve"> HYPERLINK \l "_Toc256000300" </w:instrText>
      </w:r>
      <w:r>
        <w:fldChar w:fldCharType="separate"/>
      </w:r>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_Toc256000300 \h </w:instrText>
      </w:r>
      <w:r>
        <w:fldChar w:fldCharType="separate"/>
      </w:r>
      <w:r>
        <w:t>42</w:t>
      </w:r>
      <w:r>
        <w:fldChar w:fldCharType="end"/>
      </w:r>
      <w:r>
        <w:fldChar w:fldCharType="end"/>
      </w:r>
    </w:p>
    <w:p>
      <w:pPr>
        <w:pStyle w:val="TOC1"/>
        <w:rPr>
          <w:rFonts w:ascii="Calibri" w:hAnsi="Calibri"/>
          <w:noProof/>
          <w:sz w:val="22"/>
        </w:rPr>
      </w:pPr>
      <w:r>
        <w:fldChar w:fldCharType="begin"/>
      </w:r>
      <w:r>
        <w:instrText xml:space="preserve"> HYPERLINK \l "_Toc256000301" </w:instrText>
      </w:r>
      <w:r>
        <w:fldChar w:fldCharType="separate"/>
      </w:r>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_Toc256000301 \h </w:instrText>
      </w:r>
      <w:r>
        <w:fldChar w:fldCharType="separate"/>
      </w:r>
      <w:r>
        <w:t>43</w:t>
      </w:r>
      <w:r>
        <w:fldChar w:fldCharType="end"/>
      </w:r>
      <w:r>
        <w:fldChar w:fldCharType="end"/>
      </w:r>
    </w:p>
    <w:p>
      <w:pPr>
        <w:pStyle w:val="TOC2"/>
        <w:rPr>
          <w:rFonts w:ascii="Calibri" w:hAnsi="Calibri"/>
          <w:noProof/>
          <w:sz w:val="22"/>
        </w:rPr>
      </w:pPr>
      <w:r>
        <w:fldChar w:fldCharType="begin"/>
      </w:r>
      <w:r>
        <w:instrText xml:space="preserve"> HYPERLINK \l "_Toc256000302" </w:instrText>
      </w:r>
      <w:r>
        <w:fldChar w:fldCharType="separate"/>
      </w:r>
      <w:r>
        <w:rPr>
          <w:rStyle w:val="Hyperlink"/>
        </w:rPr>
        <w:t>4.1.</w:t>
      </w:r>
      <w:r>
        <w:rPr>
          <w:rStyle w:val="Hyperlink"/>
        </w:rPr>
        <w:t xml:space="preserve"> </w:t>
      </w:r>
      <w:r>
        <w:rPr>
          <w:rStyle w:val="Hyperlink"/>
        </w:rPr>
        <w:t>SWOT</w:t>
      </w:r>
      <w:r>
        <w:tab/>
      </w:r>
      <w:r>
        <w:fldChar w:fldCharType="begin"/>
      </w:r>
      <w:r>
        <w:instrText xml:space="preserve"> PAGEREF _Toc256000302 \h </w:instrText>
      </w:r>
      <w:r>
        <w:fldChar w:fldCharType="separate"/>
      </w:r>
      <w:r>
        <w:t>43</w:t>
      </w:r>
      <w:r>
        <w:fldChar w:fldCharType="end"/>
      </w:r>
      <w:r>
        <w:fldChar w:fldCharType="end"/>
      </w:r>
    </w:p>
    <w:p>
      <w:pPr>
        <w:pStyle w:val="TOC3"/>
        <w:rPr>
          <w:rFonts w:ascii="Calibri" w:hAnsi="Calibri"/>
          <w:noProof/>
          <w:sz w:val="22"/>
        </w:rPr>
      </w:pPr>
      <w:r>
        <w:fldChar w:fldCharType="begin"/>
      </w:r>
      <w:r>
        <w:instrText xml:space="preserve"> HYPERLINK \l "_Toc256000303" </w:instrText>
      </w:r>
      <w:r>
        <w:fldChar w:fldCharType="separate"/>
      </w:r>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_Toc256000303 \h </w:instrText>
      </w:r>
      <w:r>
        <w:fldChar w:fldCharType="separate"/>
      </w:r>
      <w:r>
        <w:t>43</w:t>
      </w:r>
      <w:r>
        <w:fldChar w:fldCharType="end"/>
      </w:r>
      <w:r>
        <w:fldChar w:fldCharType="end"/>
      </w:r>
    </w:p>
    <w:p>
      <w:pPr>
        <w:pStyle w:val="TOC3"/>
        <w:rPr>
          <w:rFonts w:ascii="Calibri" w:hAnsi="Calibri"/>
          <w:noProof/>
          <w:sz w:val="22"/>
        </w:rPr>
      </w:pPr>
      <w:r>
        <w:fldChar w:fldCharType="begin"/>
      </w:r>
      <w:r>
        <w:instrText xml:space="preserve"> HYPERLINK \l "_Toc256000304" </w:instrText>
      </w:r>
      <w:r>
        <w:fldChar w:fldCharType="separate"/>
      </w:r>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_Toc256000304 \h </w:instrText>
      </w:r>
      <w:r>
        <w:fldChar w:fldCharType="separate"/>
      </w:r>
      <w:r>
        <w:t>55</w:t>
      </w:r>
      <w:r>
        <w:fldChar w:fldCharType="end"/>
      </w:r>
      <w:r>
        <w:fldChar w:fldCharType="end"/>
      </w:r>
    </w:p>
    <w:p>
      <w:pPr>
        <w:pStyle w:val="TOC3"/>
        <w:rPr>
          <w:rFonts w:ascii="Calibri" w:hAnsi="Calibri"/>
          <w:noProof/>
          <w:sz w:val="22"/>
        </w:rPr>
      </w:pPr>
      <w:r>
        <w:fldChar w:fldCharType="begin"/>
      </w:r>
      <w:r>
        <w:instrText xml:space="preserve"> HYPERLINK \l "_Toc256000305" </w:instrText>
      </w:r>
      <w:r>
        <w:fldChar w:fldCharType="separate"/>
      </w:r>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_Toc256000305 \h </w:instrText>
      </w:r>
      <w:r>
        <w:fldChar w:fldCharType="separate"/>
      </w:r>
      <w:r>
        <w:t>57</w:t>
      </w:r>
      <w:r>
        <w:fldChar w:fldCharType="end"/>
      </w:r>
      <w:r>
        <w:fldChar w:fldCharType="end"/>
      </w:r>
    </w:p>
    <w:p>
      <w:pPr>
        <w:pStyle w:val="TOC3"/>
        <w:rPr>
          <w:rFonts w:ascii="Calibri" w:hAnsi="Calibri"/>
          <w:noProof/>
          <w:sz w:val="22"/>
        </w:rPr>
      </w:pPr>
      <w:r>
        <w:fldChar w:fldCharType="begin"/>
      </w:r>
      <w:r>
        <w:instrText xml:space="preserve"> HYPERLINK \l "_Toc256000306" </w:instrText>
      </w:r>
      <w:r>
        <w:fldChar w:fldCharType="separate"/>
      </w:r>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_Toc256000306 \h </w:instrText>
      </w:r>
      <w:r>
        <w:fldChar w:fldCharType="separate"/>
      </w:r>
      <w:r>
        <w:t>59</w:t>
      </w:r>
      <w:r>
        <w:fldChar w:fldCharType="end"/>
      </w:r>
      <w:r>
        <w:fldChar w:fldCharType="end"/>
      </w:r>
    </w:p>
    <w:p>
      <w:pPr>
        <w:pStyle w:val="TOC3"/>
        <w:rPr>
          <w:rFonts w:ascii="Calibri" w:hAnsi="Calibri"/>
          <w:noProof/>
          <w:sz w:val="22"/>
        </w:rPr>
      </w:pPr>
      <w:r>
        <w:fldChar w:fldCharType="begin"/>
      </w:r>
      <w:r>
        <w:instrText xml:space="preserve"> HYPERLINK \l "_Toc256000307" </w:instrText>
      </w:r>
      <w:r>
        <w:fldChar w:fldCharType="separate"/>
      </w:r>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_Toc256000307 \h </w:instrText>
      </w:r>
      <w:r>
        <w:fldChar w:fldCharType="separate"/>
      </w:r>
      <w:r>
        <w:t>60</w:t>
      </w:r>
      <w:r>
        <w:fldChar w:fldCharType="end"/>
      </w:r>
      <w:r>
        <w:fldChar w:fldCharType="end"/>
      </w:r>
    </w:p>
    <w:p>
      <w:pPr>
        <w:pStyle w:val="TOC3"/>
        <w:rPr>
          <w:rFonts w:ascii="Calibri" w:hAnsi="Calibri"/>
          <w:noProof/>
          <w:sz w:val="22"/>
        </w:rPr>
      </w:pPr>
      <w:r>
        <w:fldChar w:fldCharType="begin"/>
      </w:r>
      <w:r>
        <w:instrText xml:space="preserve"> HYPERLINK \l "_Toc256000308" </w:instrText>
      </w:r>
      <w:r>
        <w:fldChar w:fldCharType="separate"/>
      </w:r>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_Toc256000308 \h </w:instrText>
      </w:r>
      <w:r>
        <w:fldChar w:fldCharType="separate"/>
      </w:r>
      <w:r>
        <w:t>62</w:t>
      </w:r>
      <w:r>
        <w:fldChar w:fldCharType="end"/>
      </w:r>
      <w:r>
        <w:fldChar w:fldCharType="end"/>
      </w:r>
    </w:p>
    <w:p>
      <w:pPr>
        <w:pStyle w:val="TOC3"/>
        <w:rPr>
          <w:rFonts w:ascii="Calibri" w:hAnsi="Calibri"/>
          <w:noProof/>
          <w:sz w:val="22"/>
        </w:rPr>
      </w:pPr>
      <w:r>
        <w:fldChar w:fldCharType="begin"/>
      </w:r>
      <w:r>
        <w:instrText xml:space="preserve"> HYPERLINK \l "_Toc256000309" </w:instrText>
      </w:r>
      <w:r>
        <w:fldChar w:fldCharType="separate"/>
      </w:r>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_Toc256000309 \h </w:instrText>
      </w:r>
      <w:r>
        <w:fldChar w:fldCharType="separate"/>
      </w:r>
      <w:r>
        <w:t>71</w:t>
      </w:r>
      <w:r>
        <w:fldChar w:fldCharType="end"/>
      </w:r>
      <w:r>
        <w:fldChar w:fldCharType="end"/>
      </w:r>
    </w:p>
    <w:p>
      <w:pPr>
        <w:pStyle w:val="TOC2"/>
        <w:rPr>
          <w:rFonts w:ascii="Calibri" w:hAnsi="Calibri"/>
          <w:noProof/>
          <w:sz w:val="22"/>
        </w:rPr>
      </w:pPr>
      <w:r>
        <w:fldChar w:fldCharType="begin"/>
      </w:r>
      <w:r>
        <w:instrText xml:space="preserve"> HYPERLINK \l "_Toc256000310" </w:instrText>
      </w:r>
      <w:r>
        <w:fldChar w:fldCharType="separate"/>
      </w:r>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_Toc256000310 \h </w:instrText>
      </w:r>
      <w:r>
        <w:fldChar w:fldCharType="separate"/>
      </w:r>
      <w:r>
        <w:t>72</w:t>
      </w:r>
      <w:r>
        <w:fldChar w:fldCharType="end"/>
      </w:r>
      <w:r>
        <w:fldChar w:fldCharType="end"/>
      </w:r>
    </w:p>
    <w:p>
      <w:pPr>
        <w:pStyle w:val="TOC3"/>
        <w:rPr>
          <w:rFonts w:ascii="Calibri" w:hAnsi="Calibri"/>
          <w:noProof/>
          <w:sz w:val="22"/>
        </w:rPr>
      </w:pPr>
      <w:r>
        <w:fldChar w:fldCharType="begin"/>
      </w:r>
      <w:r>
        <w:instrText xml:space="preserve"> HYPERLINK \l "_Toc256000311" </w:instrText>
      </w:r>
      <w:r>
        <w:fldChar w:fldCharType="separate"/>
      </w:r>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_Toc256000311 \h </w:instrText>
      </w:r>
      <w:r>
        <w:fldChar w:fldCharType="separate"/>
      </w:r>
      <w:r>
        <w:t>76</w:t>
      </w:r>
      <w:r>
        <w:fldChar w:fldCharType="end"/>
      </w:r>
      <w:r>
        <w:fldChar w:fldCharType="end"/>
      </w:r>
    </w:p>
    <w:p>
      <w:pPr>
        <w:pStyle w:val="TOC3"/>
        <w:rPr>
          <w:rFonts w:ascii="Calibri" w:hAnsi="Calibri"/>
          <w:noProof/>
          <w:sz w:val="22"/>
        </w:rPr>
      </w:pPr>
      <w:r>
        <w:fldChar w:fldCharType="begin"/>
      </w:r>
      <w:r>
        <w:instrText xml:space="preserve"> HYPERLINK \l "_Toc256000312" </w:instrText>
      </w:r>
      <w:r>
        <w:fldChar w:fldCharType="separate"/>
      </w:r>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_Toc256000312 \h </w:instrText>
      </w:r>
      <w:r>
        <w:fldChar w:fldCharType="separate"/>
      </w:r>
      <w:r>
        <w:t>77</w:t>
      </w:r>
      <w:r>
        <w:fldChar w:fldCharType="end"/>
      </w:r>
      <w:r>
        <w:fldChar w:fldCharType="end"/>
      </w:r>
    </w:p>
    <w:p>
      <w:pPr>
        <w:pStyle w:val="TOC3"/>
        <w:rPr>
          <w:rFonts w:ascii="Calibri" w:hAnsi="Calibri"/>
          <w:noProof/>
          <w:sz w:val="22"/>
        </w:rPr>
      </w:pPr>
      <w:r>
        <w:fldChar w:fldCharType="begin"/>
      </w:r>
      <w:r>
        <w:instrText xml:space="preserve"> HYPERLINK \l "_Toc256000313" </w:instrText>
      </w:r>
      <w:r>
        <w:fldChar w:fldCharType="separate"/>
      </w:r>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_Toc256000313 \h </w:instrText>
      </w:r>
      <w:r>
        <w:fldChar w:fldCharType="separate"/>
      </w:r>
      <w:r>
        <w:t>78</w:t>
      </w:r>
      <w:r>
        <w:fldChar w:fldCharType="end"/>
      </w:r>
      <w:r>
        <w:fldChar w:fldCharType="end"/>
      </w:r>
    </w:p>
    <w:p>
      <w:pPr>
        <w:pStyle w:val="TOC3"/>
        <w:rPr>
          <w:rFonts w:ascii="Calibri" w:hAnsi="Calibri"/>
          <w:noProof/>
          <w:sz w:val="22"/>
        </w:rPr>
      </w:pPr>
      <w:r>
        <w:fldChar w:fldCharType="begin"/>
      </w:r>
      <w:r>
        <w:instrText xml:space="preserve"> HYPERLINK \l "_Toc256000314" </w:instrText>
      </w:r>
      <w:r>
        <w:fldChar w:fldCharType="separate"/>
      </w:r>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_Toc256000314 \h </w:instrText>
      </w:r>
      <w:r>
        <w:fldChar w:fldCharType="separate"/>
      </w:r>
      <w:r>
        <w:t>80</w:t>
      </w:r>
      <w:r>
        <w:fldChar w:fldCharType="end"/>
      </w:r>
      <w:r>
        <w:fldChar w:fldCharType="end"/>
      </w:r>
    </w:p>
    <w:p>
      <w:pPr>
        <w:pStyle w:val="TOC3"/>
        <w:rPr>
          <w:rFonts w:ascii="Calibri" w:hAnsi="Calibri"/>
          <w:noProof/>
          <w:sz w:val="22"/>
        </w:rPr>
      </w:pPr>
      <w:r>
        <w:fldChar w:fldCharType="begin"/>
      </w:r>
      <w:r>
        <w:instrText xml:space="preserve"> HYPERLINK \l "_Toc256000315" </w:instrText>
      </w:r>
      <w:r>
        <w:fldChar w:fldCharType="separate"/>
      </w:r>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_Toc256000315 \h </w:instrText>
      </w:r>
      <w:r>
        <w:fldChar w:fldCharType="separate"/>
      </w:r>
      <w:r>
        <w:t>80</w:t>
      </w:r>
      <w:r>
        <w:fldChar w:fldCharType="end"/>
      </w:r>
      <w:r>
        <w:fldChar w:fldCharType="end"/>
      </w:r>
    </w:p>
    <w:p>
      <w:pPr>
        <w:pStyle w:val="TOC3"/>
        <w:rPr>
          <w:rFonts w:ascii="Calibri" w:hAnsi="Calibri"/>
          <w:noProof/>
          <w:sz w:val="22"/>
        </w:rPr>
      </w:pPr>
      <w:r>
        <w:fldChar w:fldCharType="begin"/>
      </w:r>
      <w:r>
        <w:instrText xml:space="preserve"> HYPERLINK \l "_Toc256000316" </w:instrText>
      </w:r>
      <w:r>
        <w:fldChar w:fldCharType="separate"/>
      </w:r>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_Toc256000316 \h </w:instrText>
      </w:r>
      <w:r>
        <w:fldChar w:fldCharType="separate"/>
      </w:r>
      <w:r>
        <w:t>82</w:t>
      </w:r>
      <w:r>
        <w:fldChar w:fldCharType="end"/>
      </w:r>
      <w:r>
        <w:fldChar w:fldCharType="end"/>
      </w:r>
    </w:p>
    <w:p>
      <w:pPr>
        <w:pStyle w:val="TOC3"/>
        <w:rPr>
          <w:rFonts w:ascii="Calibri" w:hAnsi="Calibri"/>
          <w:noProof/>
          <w:sz w:val="22"/>
        </w:rPr>
      </w:pPr>
      <w:r>
        <w:fldChar w:fldCharType="begin"/>
      </w:r>
      <w:r>
        <w:instrText xml:space="preserve"> HYPERLINK \l "_Toc256000317" </w:instrText>
      </w:r>
      <w:r>
        <w:fldChar w:fldCharType="separate"/>
      </w:r>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_Toc256000317 \h </w:instrText>
      </w:r>
      <w:r>
        <w:fldChar w:fldCharType="separate"/>
      </w:r>
      <w:r>
        <w:t>83</w:t>
      </w:r>
      <w:r>
        <w:fldChar w:fldCharType="end"/>
      </w:r>
      <w:r>
        <w:fldChar w:fldCharType="end"/>
      </w:r>
    </w:p>
    <w:p>
      <w:pPr>
        <w:pStyle w:val="TOC3"/>
        <w:rPr>
          <w:rFonts w:ascii="Calibri" w:hAnsi="Calibri"/>
          <w:noProof/>
          <w:sz w:val="22"/>
        </w:rPr>
      </w:pPr>
      <w:r>
        <w:fldChar w:fldCharType="begin"/>
      </w:r>
      <w:r>
        <w:instrText xml:space="preserve"> HYPERLINK \l "_Toc256000318" </w:instrText>
      </w:r>
      <w:r>
        <w:fldChar w:fldCharType="separate"/>
      </w:r>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_Toc256000318 \h </w:instrText>
      </w:r>
      <w:r>
        <w:fldChar w:fldCharType="separate"/>
      </w:r>
      <w:r>
        <w:t>84</w:t>
      </w:r>
      <w:r>
        <w:fldChar w:fldCharType="end"/>
      </w:r>
      <w:r>
        <w:fldChar w:fldCharType="end"/>
      </w:r>
    </w:p>
    <w:p>
      <w:pPr>
        <w:pStyle w:val="TOC3"/>
        <w:rPr>
          <w:rFonts w:ascii="Calibri" w:hAnsi="Calibri"/>
          <w:noProof/>
          <w:sz w:val="22"/>
        </w:rPr>
      </w:pPr>
      <w:r>
        <w:fldChar w:fldCharType="begin"/>
      </w:r>
      <w:r>
        <w:instrText xml:space="preserve"> HYPERLINK \l "_Toc256000319" </w:instrText>
      </w:r>
      <w:r>
        <w:fldChar w:fldCharType="separate"/>
      </w:r>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_Toc256000319 \h </w:instrText>
      </w:r>
      <w:r>
        <w:fldChar w:fldCharType="separate"/>
      </w:r>
      <w:r>
        <w:t>85</w:t>
      </w:r>
      <w:r>
        <w:fldChar w:fldCharType="end"/>
      </w:r>
      <w:r>
        <w:fldChar w:fldCharType="end"/>
      </w:r>
    </w:p>
    <w:p>
      <w:pPr>
        <w:pStyle w:val="TOC3"/>
        <w:rPr>
          <w:rFonts w:ascii="Calibri" w:hAnsi="Calibri"/>
          <w:noProof/>
          <w:sz w:val="22"/>
        </w:rPr>
      </w:pPr>
      <w:r>
        <w:fldChar w:fldCharType="begin"/>
      </w:r>
      <w:r>
        <w:instrText xml:space="preserve"> HYPERLINK \l "_Toc256000320" </w:instrText>
      </w:r>
      <w:r>
        <w:fldChar w:fldCharType="separate"/>
      </w:r>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_Toc256000320 \h </w:instrText>
      </w:r>
      <w:r>
        <w:fldChar w:fldCharType="separate"/>
      </w:r>
      <w:r>
        <w:t>86</w:t>
      </w:r>
      <w:r>
        <w:fldChar w:fldCharType="end"/>
      </w:r>
      <w:r>
        <w:fldChar w:fldCharType="end"/>
      </w:r>
    </w:p>
    <w:p>
      <w:pPr>
        <w:pStyle w:val="TOC3"/>
        <w:rPr>
          <w:rFonts w:ascii="Calibri" w:hAnsi="Calibri"/>
          <w:noProof/>
          <w:sz w:val="22"/>
        </w:rPr>
      </w:pPr>
      <w:r>
        <w:fldChar w:fldCharType="begin"/>
      </w:r>
      <w:r>
        <w:instrText xml:space="preserve"> HYPERLINK \l "_Toc256000321" </w:instrText>
      </w:r>
      <w:r>
        <w:fldChar w:fldCharType="separate"/>
      </w:r>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_Toc256000321 \h </w:instrText>
      </w:r>
      <w:r>
        <w:fldChar w:fldCharType="separate"/>
      </w:r>
      <w:r>
        <w:t>86</w:t>
      </w:r>
      <w:r>
        <w:fldChar w:fldCharType="end"/>
      </w:r>
      <w:r>
        <w:fldChar w:fldCharType="end"/>
      </w:r>
    </w:p>
    <w:p>
      <w:pPr>
        <w:pStyle w:val="TOC3"/>
        <w:rPr>
          <w:rFonts w:ascii="Calibri" w:hAnsi="Calibri"/>
          <w:noProof/>
          <w:sz w:val="22"/>
        </w:rPr>
      </w:pPr>
      <w:r>
        <w:fldChar w:fldCharType="begin"/>
      </w:r>
      <w:r>
        <w:instrText xml:space="preserve"> HYPERLINK \l "_Toc256000322" </w:instrText>
      </w:r>
      <w:r>
        <w:fldChar w:fldCharType="separate"/>
      </w:r>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_Toc256000322 \h </w:instrText>
      </w:r>
      <w:r>
        <w:fldChar w:fldCharType="separate"/>
      </w:r>
      <w:r>
        <w:t>87</w:t>
      </w:r>
      <w:r>
        <w:fldChar w:fldCharType="end"/>
      </w:r>
      <w:r>
        <w:fldChar w:fldCharType="end"/>
      </w:r>
    </w:p>
    <w:p>
      <w:pPr>
        <w:pStyle w:val="TOC3"/>
        <w:rPr>
          <w:rFonts w:ascii="Calibri" w:hAnsi="Calibri"/>
          <w:noProof/>
          <w:sz w:val="22"/>
        </w:rPr>
      </w:pPr>
      <w:r>
        <w:fldChar w:fldCharType="begin"/>
      </w:r>
      <w:r>
        <w:instrText xml:space="preserve"> HYPERLINK \l "_Toc256000323" </w:instrText>
      </w:r>
      <w:r>
        <w:fldChar w:fldCharType="separate"/>
      </w:r>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_Toc256000323 \h </w:instrText>
      </w:r>
      <w:r>
        <w:fldChar w:fldCharType="separate"/>
      </w:r>
      <w:r>
        <w:t>88</w:t>
      </w:r>
      <w:r>
        <w:fldChar w:fldCharType="end"/>
      </w:r>
      <w:r>
        <w:fldChar w:fldCharType="end"/>
      </w:r>
    </w:p>
    <w:p>
      <w:pPr>
        <w:pStyle w:val="TOC3"/>
        <w:rPr>
          <w:rFonts w:ascii="Calibri" w:hAnsi="Calibri"/>
          <w:noProof/>
          <w:sz w:val="22"/>
        </w:rPr>
      </w:pPr>
      <w:r>
        <w:fldChar w:fldCharType="begin"/>
      </w:r>
      <w:r>
        <w:instrText xml:space="preserve"> HYPERLINK \l "_Toc256000324" </w:instrText>
      </w:r>
      <w:r>
        <w:fldChar w:fldCharType="separate"/>
      </w:r>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_Toc256000324 \h </w:instrText>
      </w:r>
      <w:r>
        <w:fldChar w:fldCharType="separate"/>
      </w:r>
      <w:r>
        <w:t>89</w:t>
      </w:r>
      <w:r>
        <w:fldChar w:fldCharType="end"/>
      </w:r>
      <w:r>
        <w:fldChar w:fldCharType="end"/>
      </w:r>
    </w:p>
    <w:p>
      <w:pPr>
        <w:pStyle w:val="TOC3"/>
        <w:rPr>
          <w:rFonts w:ascii="Calibri" w:hAnsi="Calibri"/>
          <w:noProof/>
          <w:sz w:val="22"/>
        </w:rPr>
      </w:pPr>
      <w:r>
        <w:fldChar w:fldCharType="begin"/>
      </w:r>
      <w:r>
        <w:instrText xml:space="preserve"> HYPERLINK \l "_Toc256000325" </w:instrText>
      </w:r>
      <w:r>
        <w:fldChar w:fldCharType="separate"/>
      </w:r>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_Toc256000325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"_Toc256000326" </w:instrText>
      </w:r>
      <w:r>
        <w:fldChar w:fldCharType="separate"/>
      </w:r>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_Toc256000326 \h </w:instrText>
      </w:r>
      <w:r>
        <w:fldChar w:fldCharType="separate"/>
      </w:r>
      <w:r>
        <w:t>90</w:t>
      </w:r>
      <w:r>
        <w:fldChar w:fldCharType="end"/>
      </w:r>
      <w:r>
        <w:fldChar w:fldCharType="end"/>
      </w:r>
    </w:p>
    <w:p>
      <w:pPr>
        <w:pStyle w:val="TOC3"/>
        <w:rPr>
          <w:rFonts w:ascii="Calibri" w:hAnsi="Calibri"/>
          <w:noProof/>
          <w:sz w:val="22"/>
        </w:rPr>
      </w:pPr>
      <w:r>
        <w:fldChar w:fldCharType="begin"/>
      </w:r>
      <w:r>
        <w:instrText xml:space="preserve"> HYPERLINK \l "_Toc256000327" </w:instrText>
      </w:r>
      <w:r>
        <w:fldChar w:fldCharType="separate"/>
      </w:r>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_Toc256000327 \h </w:instrText>
      </w:r>
      <w:r>
        <w:fldChar w:fldCharType="separate"/>
      </w:r>
      <w:r>
        <w:t>91</w:t>
      </w:r>
      <w:r>
        <w:fldChar w:fldCharType="end"/>
      </w:r>
      <w:r>
        <w:fldChar w:fldCharType="end"/>
      </w:r>
    </w:p>
    <w:p>
      <w:pPr>
        <w:pStyle w:val="TOC3"/>
        <w:rPr>
          <w:rFonts w:ascii="Calibri" w:hAnsi="Calibri"/>
          <w:noProof/>
          <w:sz w:val="22"/>
        </w:rPr>
      </w:pPr>
      <w:r>
        <w:fldChar w:fldCharType="begin"/>
      </w:r>
      <w:r>
        <w:instrText xml:space="preserve"> HYPERLINK \l "_Toc256000328" </w:instrText>
      </w:r>
      <w:r>
        <w:fldChar w:fldCharType="separate"/>
      </w:r>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_Toc256000328 \h </w:instrText>
      </w:r>
      <w:r>
        <w:fldChar w:fldCharType="separate"/>
      </w:r>
      <w:r>
        <w:t>92</w:t>
      </w:r>
      <w:r>
        <w:fldChar w:fldCharType="end"/>
      </w:r>
      <w:r>
        <w:fldChar w:fldCharType="end"/>
      </w:r>
    </w:p>
    <w:p>
      <w:pPr>
        <w:pStyle w:val="TOC3"/>
        <w:rPr>
          <w:rFonts w:ascii="Calibri" w:hAnsi="Calibri"/>
          <w:noProof/>
          <w:sz w:val="22"/>
        </w:rPr>
      </w:pPr>
      <w:r>
        <w:fldChar w:fldCharType="begin"/>
      </w:r>
      <w:r>
        <w:instrText xml:space="preserve"> HYPERLINK \l "_Toc256000329" </w:instrText>
      </w:r>
      <w:r>
        <w:fldChar w:fldCharType="separate"/>
      </w:r>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_Toc256000329 \h </w:instrText>
      </w:r>
      <w:r>
        <w:fldChar w:fldCharType="separate"/>
      </w:r>
      <w:r>
        <w:t>93</w:t>
      </w:r>
      <w:r>
        <w:fldChar w:fldCharType="end"/>
      </w:r>
      <w:r>
        <w:fldChar w:fldCharType="end"/>
      </w:r>
    </w:p>
    <w:p>
      <w:pPr>
        <w:pStyle w:val="TOC3"/>
        <w:rPr>
          <w:rFonts w:ascii="Calibri" w:hAnsi="Calibri"/>
          <w:noProof/>
          <w:sz w:val="22"/>
        </w:rPr>
      </w:pPr>
      <w:r>
        <w:fldChar w:fldCharType="begin"/>
      </w:r>
      <w:r>
        <w:instrText xml:space="preserve"> HYPERLINK \l "_Toc256000330" </w:instrText>
      </w:r>
      <w:r>
        <w:fldChar w:fldCharType="separate"/>
      </w:r>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_Toc256000330 \h </w:instrText>
      </w:r>
      <w:r>
        <w:fldChar w:fldCharType="separate"/>
      </w:r>
      <w:r>
        <w:t>94</w:t>
      </w:r>
      <w:r>
        <w:fldChar w:fldCharType="end"/>
      </w:r>
      <w:r>
        <w:fldChar w:fldCharType="end"/>
      </w:r>
    </w:p>
    <w:p>
      <w:pPr>
        <w:pStyle w:val="TOC3"/>
        <w:rPr>
          <w:rFonts w:ascii="Calibri" w:hAnsi="Calibri"/>
          <w:noProof/>
          <w:sz w:val="22"/>
        </w:rPr>
      </w:pPr>
      <w:r>
        <w:fldChar w:fldCharType="begin"/>
      </w:r>
      <w:r>
        <w:instrText xml:space="preserve"> HYPERLINK \l "_Toc256000331" </w:instrText>
      </w:r>
      <w:r>
        <w:fldChar w:fldCharType="separate"/>
      </w:r>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_Toc256000331 \h </w:instrText>
      </w:r>
      <w:r>
        <w:fldChar w:fldCharType="separate"/>
      </w:r>
      <w:r>
        <w:t>94</w:t>
      </w:r>
      <w:r>
        <w:fldChar w:fldCharType="end"/>
      </w:r>
      <w:r>
        <w:fldChar w:fldCharType="end"/>
      </w:r>
    </w:p>
    <w:p>
      <w:pPr>
        <w:pStyle w:val="TOC3"/>
        <w:rPr>
          <w:rFonts w:ascii="Calibri" w:hAnsi="Calibri"/>
          <w:noProof/>
          <w:sz w:val="22"/>
        </w:rPr>
      </w:pPr>
      <w:r>
        <w:fldChar w:fldCharType="begin"/>
      </w:r>
      <w:r>
        <w:instrText xml:space="preserve"> HYPERLINK \l "_Toc256000332" </w:instrText>
      </w:r>
      <w:r>
        <w:fldChar w:fldCharType="separate"/>
      </w:r>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_Toc256000332 \h </w:instrText>
      </w:r>
      <w:r>
        <w:fldChar w:fldCharType="separate"/>
      </w:r>
      <w:r>
        <w:t>95</w:t>
      </w:r>
      <w:r>
        <w:fldChar w:fldCharType="end"/>
      </w:r>
      <w:r>
        <w:fldChar w:fldCharType="end"/>
      </w:r>
    </w:p>
    <w:p>
      <w:pPr>
        <w:pStyle w:val="TOC3"/>
        <w:rPr>
          <w:rFonts w:ascii="Calibri" w:hAnsi="Calibri"/>
          <w:noProof/>
          <w:sz w:val="22"/>
        </w:rPr>
      </w:pPr>
      <w:r>
        <w:fldChar w:fldCharType="begin"/>
      </w:r>
      <w:r>
        <w:instrText xml:space="preserve"> HYPERLINK \l "_Toc256000333" </w:instrText>
      </w:r>
      <w:r>
        <w:fldChar w:fldCharType="separate"/>
      </w:r>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_Toc256000333 \h </w:instrText>
      </w:r>
      <w:r>
        <w:fldChar w:fldCharType="separate"/>
      </w:r>
      <w:r>
        <w:t>96</w:t>
      </w:r>
      <w:r>
        <w:fldChar w:fldCharType="end"/>
      </w:r>
      <w:r>
        <w:fldChar w:fldCharType="end"/>
      </w:r>
    </w:p>
    <w:p>
      <w:pPr>
        <w:pStyle w:val="TOC3"/>
        <w:rPr>
          <w:rFonts w:ascii="Calibri" w:hAnsi="Calibri"/>
          <w:noProof/>
          <w:sz w:val="22"/>
        </w:rPr>
      </w:pPr>
      <w:r>
        <w:fldChar w:fldCharType="begin"/>
      </w:r>
      <w:r>
        <w:instrText xml:space="preserve"> HYPERLINK \l "_Toc256000334" </w:instrText>
      </w:r>
      <w:r>
        <w:fldChar w:fldCharType="separate"/>
      </w:r>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_Toc256000334 \h </w:instrText>
      </w:r>
      <w:r>
        <w:fldChar w:fldCharType="separate"/>
      </w:r>
      <w:r>
        <w:t>96</w:t>
      </w:r>
      <w:r>
        <w:fldChar w:fldCharType="end"/>
      </w:r>
      <w:r>
        <w:fldChar w:fldCharType="end"/>
      </w:r>
    </w:p>
    <w:p>
      <w:pPr>
        <w:pStyle w:val="TOC3"/>
        <w:rPr>
          <w:rFonts w:ascii="Calibri" w:hAnsi="Calibri"/>
          <w:noProof/>
          <w:sz w:val="22"/>
        </w:rPr>
      </w:pPr>
      <w:r>
        <w:fldChar w:fldCharType="begin"/>
      </w:r>
      <w:r>
        <w:instrText xml:space="preserve"> HYPERLINK \l "_Toc256000335" </w:instrText>
      </w:r>
      <w:r>
        <w:fldChar w:fldCharType="separate"/>
      </w:r>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_Toc256000335 \h </w:instrText>
      </w:r>
      <w:r>
        <w:fldChar w:fldCharType="separate"/>
      </w:r>
      <w:r>
        <w:t>97</w:t>
      </w:r>
      <w:r>
        <w:fldChar w:fldCharType="end"/>
      </w:r>
      <w:r>
        <w:fldChar w:fldCharType="end"/>
      </w:r>
    </w:p>
    <w:p>
      <w:pPr>
        <w:pStyle w:val="TOC3"/>
        <w:rPr>
          <w:rFonts w:ascii="Calibri" w:hAnsi="Calibri"/>
          <w:noProof/>
          <w:sz w:val="22"/>
        </w:rPr>
      </w:pPr>
      <w:r>
        <w:fldChar w:fldCharType="begin"/>
      </w:r>
      <w:r>
        <w:instrText xml:space="preserve"> HYPERLINK \l "_Toc256000336" </w:instrText>
      </w:r>
      <w:r>
        <w:fldChar w:fldCharType="separate"/>
      </w:r>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_Toc256000336 \h </w:instrText>
      </w:r>
      <w:r>
        <w:fldChar w:fldCharType="separate"/>
      </w:r>
      <w:r>
        <w:t>98</w:t>
      </w:r>
      <w:r>
        <w:fldChar w:fldCharType="end"/>
      </w:r>
      <w:r>
        <w:fldChar w:fldCharType="end"/>
      </w:r>
    </w:p>
    <w:p>
      <w:pPr>
        <w:pStyle w:val="TOC3"/>
        <w:rPr>
          <w:rFonts w:ascii="Calibri" w:hAnsi="Calibri"/>
          <w:noProof/>
          <w:sz w:val="22"/>
        </w:rPr>
      </w:pPr>
      <w:r>
        <w:fldChar w:fldCharType="begin"/>
      </w:r>
      <w:r>
        <w:instrText xml:space="preserve"> HYPERLINK \l "_Toc256000337" </w:instrText>
      </w:r>
      <w:r>
        <w:fldChar w:fldCharType="separate"/>
      </w:r>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_Toc256000337 \h </w:instrText>
      </w:r>
      <w:r>
        <w:fldChar w:fldCharType="separate"/>
      </w:r>
      <w:r>
        <w:t>98</w:t>
      </w:r>
      <w:r>
        <w:fldChar w:fldCharType="end"/>
      </w:r>
      <w:r>
        <w:fldChar w:fldCharType="end"/>
      </w:r>
    </w:p>
    <w:p>
      <w:pPr>
        <w:pStyle w:val="TOC3"/>
        <w:rPr>
          <w:rFonts w:ascii="Calibri" w:hAnsi="Calibri"/>
          <w:noProof/>
          <w:sz w:val="22"/>
        </w:rPr>
      </w:pPr>
      <w:r>
        <w:fldChar w:fldCharType="begin"/>
      </w:r>
      <w:r>
        <w:instrText xml:space="preserve"> HYPERLINK \l "_Toc256000338" </w:instrText>
      </w:r>
      <w:r>
        <w:fldChar w:fldCharType="separate"/>
      </w:r>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_Toc256000338 \h </w:instrText>
      </w:r>
      <w:r>
        <w:fldChar w:fldCharType="separate"/>
      </w:r>
      <w:r>
        <w:t>99</w:t>
      </w:r>
      <w:r>
        <w:fldChar w:fldCharType="end"/>
      </w:r>
      <w:r>
        <w:fldChar w:fldCharType="end"/>
      </w:r>
    </w:p>
    <w:p>
      <w:pPr>
        <w:pStyle w:val="TOC3"/>
        <w:rPr>
          <w:rFonts w:ascii="Calibri" w:hAnsi="Calibri"/>
          <w:noProof/>
          <w:sz w:val="22"/>
        </w:rPr>
      </w:pPr>
      <w:r>
        <w:fldChar w:fldCharType="begin"/>
      </w:r>
      <w:r>
        <w:instrText xml:space="preserve"> HYPERLINK \l "_Toc256000339" </w:instrText>
      </w:r>
      <w:r>
        <w:fldChar w:fldCharType="separate"/>
      </w:r>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_Toc256000339 \h </w:instrText>
      </w:r>
      <w:r>
        <w:fldChar w:fldCharType="separate"/>
      </w:r>
      <w:r>
        <w:t>100</w:t>
      </w:r>
      <w:r>
        <w:fldChar w:fldCharType="end"/>
      </w:r>
      <w:r>
        <w:fldChar w:fldCharType="end"/>
      </w:r>
    </w:p>
    <w:p>
      <w:pPr>
        <w:pStyle w:val="TOC3"/>
        <w:rPr>
          <w:rFonts w:ascii="Calibri" w:hAnsi="Calibri"/>
          <w:noProof/>
          <w:sz w:val="22"/>
        </w:rPr>
      </w:pPr>
      <w:r>
        <w:fldChar w:fldCharType="begin"/>
      </w:r>
      <w:r>
        <w:instrText xml:space="preserve"> HYPERLINK \l "_Toc256000340" </w:instrText>
      </w:r>
      <w:r>
        <w:fldChar w:fldCharType="separate"/>
      </w:r>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_Toc256000340 \h </w:instrText>
      </w:r>
      <w:r>
        <w:fldChar w:fldCharType="separate"/>
      </w:r>
      <w:r>
        <w:t>100</w:t>
      </w:r>
      <w:r>
        <w:fldChar w:fldCharType="end"/>
      </w:r>
      <w:r>
        <w:fldChar w:fldCharType="end"/>
      </w:r>
    </w:p>
    <w:p>
      <w:pPr>
        <w:pStyle w:val="TOC3"/>
        <w:rPr>
          <w:rFonts w:ascii="Calibri" w:hAnsi="Calibri"/>
          <w:noProof/>
          <w:sz w:val="22"/>
        </w:rPr>
      </w:pPr>
      <w:r>
        <w:fldChar w:fldCharType="begin"/>
      </w:r>
      <w:r>
        <w:instrText xml:space="preserve"> HYPERLINK \l "_Toc256000341" </w:instrText>
      </w:r>
      <w:r>
        <w:fldChar w:fldCharType="separate"/>
      </w:r>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_Toc256000341 \h </w:instrText>
      </w:r>
      <w:r>
        <w:fldChar w:fldCharType="separate"/>
      </w:r>
      <w:r>
        <w:t>100</w:t>
      </w:r>
      <w:r>
        <w:fldChar w:fldCharType="end"/>
      </w:r>
      <w:r>
        <w:fldChar w:fldCharType="end"/>
      </w:r>
    </w:p>
    <w:p>
      <w:pPr>
        <w:pStyle w:val="TOC3"/>
        <w:rPr>
          <w:rFonts w:ascii="Calibri" w:hAnsi="Calibri"/>
          <w:noProof/>
          <w:sz w:val="22"/>
        </w:rPr>
      </w:pPr>
      <w:r>
        <w:fldChar w:fldCharType="begin"/>
      </w:r>
      <w:r>
        <w:instrText xml:space="preserve"> HYPERLINK \l "_Toc256000342" </w:instrText>
      </w:r>
      <w:r>
        <w:fldChar w:fldCharType="separate"/>
      </w:r>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_Toc256000342 \h </w:instrText>
      </w:r>
      <w:r>
        <w:fldChar w:fldCharType="separate"/>
      </w:r>
      <w:r>
        <w:t>101</w:t>
      </w:r>
      <w:r>
        <w:fldChar w:fldCharType="end"/>
      </w:r>
      <w:r>
        <w:fldChar w:fldCharType="end"/>
      </w:r>
    </w:p>
    <w:p>
      <w:pPr>
        <w:pStyle w:val="TOC3"/>
        <w:rPr>
          <w:rFonts w:ascii="Calibri" w:hAnsi="Calibri"/>
          <w:noProof/>
          <w:sz w:val="22"/>
        </w:rPr>
      </w:pPr>
      <w:r>
        <w:fldChar w:fldCharType="begin"/>
      </w:r>
      <w:r>
        <w:instrText xml:space="preserve"> HYPERLINK \l "_Toc256000343" </w:instrText>
      </w:r>
      <w:r>
        <w:fldChar w:fldCharType="separate"/>
      </w:r>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_Toc256000343 \h </w:instrText>
      </w:r>
      <w:r>
        <w:fldChar w:fldCharType="separate"/>
      </w:r>
      <w:r>
        <w:t>102</w:t>
      </w:r>
      <w:r>
        <w:fldChar w:fldCharType="end"/>
      </w:r>
      <w:r>
        <w:fldChar w:fldCharType="end"/>
      </w:r>
    </w:p>
    <w:p>
      <w:pPr>
        <w:pStyle w:val="TOC3"/>
        <w:rPr>
          <w:rFonts w:ascii="Calibri" w:hAnsi="Calibri"/>
          <w:noProof/>
          <w:sz w:val="22"/>
        </w:rPr>
      </w:pPr>
      <w:r>
        <w:fldChar w:fldCharType="begin"/>
      </w:r>
      <w:r>
        <w:instrText xml:space="preserve"> HYPERLINK \l "_Toc256000344" </w:instrText>
      </w:r>
      <w:r>
        <w:fldChar w:fldCharType="separate"/>
      </w:r>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_Toc256000344 \h </w:instrText>
      </w:r>
      <w:r>
        <w:fldChar w:fldCharType="separate"/>
      </w:r>
      <w:r>
        <w:t>103</w:t>
      </w:r>
      <w:r>
        <w:fldChar w:fldCharType="end"/>
      </w:r>
      <w:r>
        <w:fldChar w:fldCharType="end"/>
      </w:r>
    </w:p>
    <w:p>
      <w:pPr>
        <w:pStyle w:val="TOC3"/>
        <w:rPr>
          <w:rFonts w:ascii="Calibri" w:hAnsi="Calibri"/>
          <w:noProof/>
          <w:sz w:val="22"/>
        </w:rPr>
      </w:pPr>
      <w:r>
        <w:fldChar w:fldCharType="begin"/>
      </w:r>
      <w:r>
        <w:instrText xml:space="preserve"> HYPERLINK \l "_Toc256000345" </w:instrText>
      </w:r>
      <w:r>
        <w:fldChar w:fldCharType="separate"/>
      </w:r>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_Toc256000345 \h </w:instrText>
      </w:r>
      <w:r>
        <w:fldChar w:fldCharType="separate"/>
      </w:r>
      <w:r>
        <w:t>103</w:t>
      </w:r>
      <w:r>
        <w:fldChar w:fldCharType="end"/>
      </w:r>
      <w:r>
        <w:fldChar w:fldCharType="end"/>
      </w:r>
    </w:p>
    <w:p>
      <w:pPr>
        <w:pStyle w:val="TOC3"/>
        <w:rPr>
          <w:rFonts w:ascii="Calibri" w:hAnsi="Calibri"/>
          <w:noProof/>
          <w:sz w:val="22"/>
        </w:rPr>
      </w:pPr>
      <w:r>
        <w:fldChar w:fldCharType="begin"/>
      </w:r>
      <w:r>
        <w:instrText xml:space="preserve"> HYPERLINK \l "_Toc256000346" </w:instrText>
      </w:r>
      <w:r>
        <w:fldChar w:fldCharType="separate"/>
      </w:r>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_Toc256000346 \h </w:instrText>
      </w:r>
      <w:r>
        <w:fldChar w:fldCharType="separate"/>
      </w:r>
      <w:r>
        <w:t>104</w:t>
      </w:r>
      <w:r>
        <w:fldChar w:fldCharType="end"/>
      </w:r>
      <w:r>
        <w:fldChar w:fldCharType="end"/>
      </w:r>
    </w:p>
    <w:p>
      <w:pPr>
        <w:pStyle w:val="TOC3"/>
        <w:rPr>
          <w:rFonts w:ascii="Calibri" w:hAnsi="Calibri"/>
          <w:noProof/>
          <w:sz w:val="22"/>
        </w:rPr>
      </w:pPr>
      <w:r>
        <w:fldChar w:fldCharType="begin"/>
      </w:r>
      <w:r>
        <w:instrText xml:space="preserve"> HYPERLINK \l "_Toc256000347" </w:instrText>
      </w:r>
      <w:r>
        <w:fldChar w:fldCharType="separate"/>
      </w:r>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_Toc256000347 \h </w:instrText>
      </w:r>
      <w:r>
        <w:fldChar w:fldCharType="separate"/>
      </w:r>
      <w:r>
        <w:t>104</w:t>
      </w:r>
      <w:r>
        <w:fldChar w:fldCharType="end"/>
      </w:r>
      <w:r>
        <w:fldChar w:fldCharType="end"/>
      </w:r>
    </w:p>
    <w:p>
      <w:pPr>
        <w:pStyle w:val="TOC3"/>
        <w:rPr>
          <w:rFonts w:ascii="Calibri" w:hAnsi="Calibri"/>
          <w:noProof/>
          <w:sz w:val="22"/>
        </w:rPr>
      </w:pPr>
      <w:r>
        <w:fldChar w:fldCharType="begin"/>
      </w:r>
      <w:r>
        <w:instrText xml:space="preserve"> HYPERLINK \l "_Toc256000348" </w:instrText>
      </w:r>
      <w:r>
        <w:fldChar w:fldCharType="separate"/>
      </w:r>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_Toc256000348 \h </w:instrText>
      </w:r>
      <w:r>
        <w:fldChar w:fldCharType="separate"/>
      </w:r>
      <w:r>
        <w:t>105</w:t>
      </w:r>
      <w:r>
        <w:fldChar w:fldCharType="end"/>
      </w:r>
      <w:r>
        <w:fldChar w:fldCharType="end"/>
      </w:r>
    </w:p>
    <w:p>
      <w:pPr>
        <w:pStyle w:val="TOC3"/>
        <w:rPr>
          <w:rFonts w:ascii="Calibri" w:hAnsi="Calibri"/>
          <w:noProof/>
          <w:sz w:val="22"/>
        </w:rPr>
      </w:pPr>
      <w:r>
        <w:fldChar w:fldCharType="begin"/>
      </w:r>
      <w:r>
        <w:instrText xml:space="preserve"> HYPERLINK \l "_Toc256000349" </w:instrText>
      </w:r>
      <w:r>
        <w:fldChar w:fldCharType="separate"/>
      </w:r>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_Toc256000349 \h </w:instrText>
      </w:r>
      <w:r>
        <w:fldChar w:fldCharType="separate"/>
      </w:r>
      <w:r>
        <w:t>105</w:t>
      </w:r>
      <w:r>
        <w:fldChar w:fldCharType="end"/>
      </w:r>
      <w:r>
        <w:fldChar w:fldCharType="end"/>
      </w:r>
    </w:p>
    <w:p>
      <w:pPr>
        <w:pStyle w:val="TOC3"/>
        <w:rPr>
          <w:rFonts w:ascii="Calibri" w:hAnsi="Calibri"/>
          <w:noProof/>
          <w:sz w:val="22"/>
        </w:rPr>
      </w:pPr>
      <w:r>
        <w:fldChar w:fldCharType="begin"/>
      </w:r>
      <w:r>
        <w:instrText xml:space="preserve"> HYPERLINK \l "_Toc256000350" </w:instrText>
      </w:r>
      <w:r>
        <w:fldChar w:fldCharType="separate"/>
      </w:r>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_Toc256000350 \h </w:instrText>
      </w:r>
      <w:r>
        <w:fldChar w:fldCharType="separate"/>
      </w:r>
      <w:r>
        <w:t>106</w:t>
      </w:r>
      <w:r>
        <w:fldChar w:fldCharType="end"/>
      </w:r>
      <w:r>
        <w:fldChar w:fldCharType="end"/>
      </w:r>
    </w:p>
    <w:p>
      <w:pPr>
        <w:pStyle w:val="TOC1"/>
        <w:rPr>
          <w:rFonts w:ascii="Calibri" w:hAnsi="Calibri"/>
          <w:noProof/>
          <w:sz w:val="22"/>
        </w:rPr>
      </w:pPr>
      <w:r>
        <w:fldChar w:fldCharType="begin"/>
      </w:r>
      <w:r>
        <w:instrText xml:space="preserve"> HYPERLINK \l "_Toc256000351" </w:instrText>
      </w:r>
      <w:r>
        <w:fldChar w:fldCharType="separate"/>
      </w:r>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_Toc256000351 \h </w:instrText>
      </w:r>
      <w:r>
        <w:fldChar w:fldCharType="separate"/>
      </w:r>
      <w:r>
        <w:t>108</w:t>
      </w:r>
      <w:r>
        <w:fldChar w:fldCharType="end"/>
      </w:r>
      <w:r>
        <w:fldChar w:fldCharType="end"/>
      </w:r>
    </w:p>
    <w:p>
      <w:pPr>
        <w:pStyle w:val="TOC2"/>
        <w:rPr>
          <w:rFonts w:ascii="Calibri" w:hAnsi="Calibri"/>
          <w:noProof/>
          <w:sz w:val="22"/>
        </w:rPr>
      </w:pPr>
      <w:r>
        <w:fldChar w:fldCharType="begin"/>
      </w:r>
      <w:r>
        <w:instrText xml:space="preserve"> HYPERLINK \l "_Toc256000352" </w:instrText>
      </w:r>
      <w:r>
        <w:fldChar w:fldCharType="separate"/>
      </w:r>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_Toc256000352 \h </w:instrText>
      </w:r>
      <w:r>
        <w:fldChar w:fldCharType="separate"/>
      </w:r>
      <w:r>
        <w:t>108</w:t>
      </w:r>
      <w:r>
        <w:fldChar w:fldCharType="end"/>
      </w:r>
      <w:r>
        <w:fldChar w:fldCharType="end"/>
      </w:r>
    </w:p>
    <w:p>
      <w:pPr>
        <w:pStyle w:val="TOC2"/>
        <w:rPr>
          <w:rFonts w:ascii="Calibri" w:hAnsi="Calibri"/>
          <w:noProof/>
          <w:sz w:val="22"/>
        </w:rPr>
      </w:pPr>
      <w:r>
        <w:fldChar w:fldCharType="begin"/>
      </w:r>
      <w:r>
        <w:instrText xml:space="preserve"> HYPERLINK \l "_Toc256000353" </w:instrText>
      </w:r>
      <w:r>
        <w:fldChar w:fldCharType="separate"/>
      </w:r>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_Toc256000353 \h </w:instrText>
      </w:r>
      <w:r>
        <w:fldChar w:fldCharType="separate"/>
      </w:r>
      <w:r>
        <w:t>114</w:t>
      </w:r>
      <w:r>
        <w:fldChar w:fldCharType="end"/>
      </w:r>
      <w:r>
        <w:fldChar w:fldCharType="end"/>
      </w:r>
    </w:p>
    <w:p>
      <w:pPr>
        <w:pStyle w:val="TOC3"/>
        <w:rPr>
          <w:rFonts w:ascii="Calibri" w:hAnsi="Calibri"/>
          <w:noProof/>
          <w:sz w:val="22"/>
        </w:rPr>
      </w:pPr>
      <w:r>
        <w:fldChar w:fldCharType="begin"/>
      </w:r>
      <w:r>
        <w:instrText xml:space="preserve"> HYPERLINK \l "_Toc256000354" </w:instrText>
      </w:r>
      <w:r>
        <w:fldChar w:fldCharType="separate"/>
      </w:r>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_Toc256000354 \h </w:instrText>
      </w:r>
      <w:r>
        <w:fldChar w:fldCharType="separate"/>
      </w:r>
      <w:r>
        <w:t>114</w:t>
      </w:r>
      <w:r>
        <w:fldChar w:fldCharType="end"/>
      </w:r>
      <w:r>
        <w:fldChar w:fldCharType="end"/>
      </w:r>
    </w:p>
    <w:p>
      <w:pPr>
        <w:pStyle w:val="TOC3"/>
        <w:rPr>
          <w:rFonts w:ascii="Calibri" w:hAnsi="Calibri"/>
          <w:noProof/>
          <w:sz w:val="22"/>
        </w:rPr>
      </w:pPr>
      <w:r>
        <w:fldChar w:fldCharType="begin"/>
      </w:r>
      <w:r>
        <w:instrText xml:space="preserve"> HYPERLINK \l "_Toc256000355" </w:instrText>
      </w:r>
      <w:r>
        <w:fldChar w:fldCharType="separate"/>
      </w:r>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_Toc256000355 \h </w:instrText>
      </w:r>
      <w:r>
        <w:fldChar w:fldCharType="separate"/>
      </w:r>
      <w:r>
        <w:t>115</w:t>
      </w:r>
      <w:r>
        <w:fldChar w:fldCharType="end"/>
      </w:r>
      <w:r>
        <w:fldChar w:fldCharType="end"/>
      </w:r>
    </w:p>
    <w:p>
      <w:pPr>
        <w:pStyle w:val="TOC3"/>
        <w:rPr>
          <w:rFonts w:ascii="Calibri" w:hAnsi="Calibri"/>
          <w:noProof/>
          <w:sz w:val="22"/>
        </w:rPr>
      </w:pPr>
      <w:r>
        <w:fldChar w:fldCharType="begin"/>
      </w:r>
      <w:r>
        <w:instrText xml:space="preserve"> HYPERLINK \l "_Toc256000356" </w:instrText>
      </w:r>
      <w:r>
        <w:fldChar w:fldCharType="separate"/>
      </w:r>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_Toc256000356 \h </w:instrText>
      </w:r>
      <w:r>
        <w:fldChar w:fldCharType="separate"/>
      </w:r>
      <w:r>
        <w:t>117</w:t>
      </w:r>
      <w:r>
        <w:fldChar w:fldCharType="end"/>
      </w:r>
      <w:r>
        <w:fldChar w:fldCharType="end"/>
      </w:r>
    </w:p>
    <w:p>
      <w:pPr>
        <w:pStyle w:val="TOC3"/>
        <w:rPr>
          <w:rFonts w:ascii="Calibri" w:hAnsi="Calibri"/>
          <w:noProof/>
          <w:sz w:val="22"/>
        </w:rPr>
      </w:pPr>
      <w:r>
        <w:fldChar w:fldCharType="begin"/>
      </w:r>
      <w:r>
        <w:instrText xml:space="preserve"> HYPERLINK \l "_Toc256000357" </w:instrText>
      </w:r>
      <w:r>
        <w:fldChar w:fldCharType="separate"/>
      </w:r>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_Toc256000357 \h </w:instrText>
      </w:r>
      <w:r>
        <w:fldChar w:fldCharType="separate"/>
      </w:r>
      <w:r>
        <w:t>119</w:t>
      </w:r>
      <w:r>
        <w:fldChar w:fldCharType="end"/>
      </w:r>
      <w:r>
        <w:fldChar w:fldCharType="end"/>
      </w:r>
    </w:p>
    <w:p>
      <w:pPr>
        <w:pStyle w:val="TOC3"/>
        <w:rPr>
          <w:rFonts w:ascii="Calibri" w:hAnsi="Calibri"/>
          <w:noProof/>
          <w:sz w:val="22"/>
        </w:rPr>
      </w:pPr>
      <w:r>
        <w:fldChar w:fldCharType="begin"/>
      </w:r>
      <w:r>
        <w:instrText xml:space="preserve"> HYPERLINK \l "_Toc256000358" </w:instrText>
      </w:r>
      <w:r>
        <w:fldChar w:fldCharType="separate"/>
      </w:r>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_Toc256000358 \h </w:instrText>
      </w:r>
      <w:r>
        <w:fldChar w:fldCharType="separate"/>
      </w:r>
      <w:r>
        <w:t>123</w:t>
      </w:r>
      <w:r>
        <w:fldChar w:fldCharType="end"/>
      </w:r>
      <w:r>
        <w:fldChar w:fldCharType="end"/>
      </w:r>
    </w:p>
    <w:p>
      <w:pPr>
        <w:pStyle w:val="TOC3"/>
        <w:rPr>
          <w:rFonts w:ascii="Calibri" w:hAnsi="Calibri"/>
          <w:noProof/>
          <w:sz w:val="22"/>
        </w:rPr>
      </w:pPr>
      <w:r>
        <w:fldChar w:fldCharType="begin"/>
      </w:r>
      <w:r>
        <w:instrText xml:space="preserve"> HYPERLINK \l "_Toc256000359" </w:instrText>
      </w:r>
      <w:r>
        <w:fldChar w:fldCharType="separate"/>
      </w:r>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_Toc256000359 \h </w:instrText>
      </w:r>
      <w:r>
        <w:fldChar w:fldCharType="separate"/>
      </w:r>
      <w:r>
        <w:t>127</w:t>
      </w:r>
      <w:r>
        <w:fldChar w:fldCharType="end"/>
      </w:r>
      <w:r>
        <w:fldChar w:fldCharType="end"/>
      </w:r>
    </w:p>
    <w:p>
      <w:pPr>
        <w:pStyle w:val="TOC2"/>
        <w:rPr>
          <w:rFonts w:ascii="Calibri" w:hAnsi="Calibri"/>
          <w:noProof/>
          <w:sz w:val="22"/>
        </w:rPr>
      </w:pPr>
      <w:r>
        <w:fldChar w:fldCharType="begin"/>
      </w:r>
      <w:r>
        <w:instrText xml:space="preserve"> HYPERLINK \l "_Toc256000360" </w:instrText>
      </w:r>
      <w:r>
        <w:fldChar w:fldCharType="separate"/>
      </w:r>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_Toc256000360 \h </w:instrText>
      </w:r>
      <w:r>
        <w:fldChar w:fldCharType="separate"/>
      </w:r>
      <w:r>
        <w:t>130</w:t>
      </w:r>
      <w:r>
        <w:fldChar w:fldCharType="end"/>
      </w:r>
      <w:r>
        <w:fldChar w:fldCharType="end"/>
      </w:r>
    </w:p>
    <w:p>
      <w:pPr>
        <w:pStyle w:val="TOC2"/>
        <w:rPr>
          <w:rFonts w:ascii="Calibri" w:hAnsi="Calibri"/>
          <w:noProof/>
          <w:sz w:val="22"/>
        </w:rPr>
      </w:pPr>
      <w:r>
        <w:fldChar w:fldCharType="begin"/>
      </w:r>
      <w:r>
        <w:instrText xml:space="preserve"> HYPERLINK \l "_Toc256000361" </w:instrText>
      </w:r>
      <w:r>
        <w:fldChar w:fldCharType="separate"/>
      </w:r>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_Toc256000361 \h </w:instrText>
      </w:r>
      <w:r>
        <w:fldChar w:fldCharType="separate"/>
      </w:r>
      <w:r>
        <w:t>133</w:t>
      </w:r>
      <w:r>
        <w:fldChar w:fldCharType="end"/>
      </w:r>
      <w:r>
        <w:fldChar w:fldCharType="end"/>
      </w:r>
    </w:p>
    <w:p>
      <w:pPr>
        <w:pStyle w:val="TOC2"/>
        <w:rPr>
          <w:rFonts w:ascii="Calibri" w:hAnsi="Calibri"/>
          <w:noProof/>
          <w:sz w:val="22"/>
        </w:rPr>
      </w:pPr>
      <w:r>
        <w:fldChar w:fldCharType="begin"/>
      </w:r>
      <w:r>
        <w:instrText xml:space="preserve"> HYPERLINK \l "_Toc256000362" </w:instrText>
      </w:r>
      <w:r>
        <w:fldChar w:fldCharType="separate"/>
      </w:r>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_Toc256000362 \h </w:instrText>
      </w:r>
      <w:r>
        <w:fldChar w:fldCharType="separate"/>
      </w:r>
      <w:r>
        <w:t>135</w:t>
      </w:r>
      <w:r>
        <w:fldChar w:fldCharType="end"/>
      </w:r>
      <w:r>
        <w:fldChar w:fldCharType="end"/>
      </w:r>
    </w:p>
    <w:p>
      <w:pPr>
        <w:pStyle w:val="TOC1"/>
        <w:rPr>
          <w:rFonts w:ascii="Calibri" w:hAnsi="Calibri"/>
          <w:noProof/>
          <w:sz w:val="22"/>
        </w:rPr>
      </w:pPr>
      <w:r>
        <w:fldChar w:fldCharType="begin"/>
      </w:r>
      <w:r>
        <w:instrText xml:space="preserve"> HYPERLINK \l "_Toc256000363" </w:instrText>
      </w:r>
      <w:r>
        <w:fldChar w:fldCharType="separate"/>
      </w:r>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_Toc256000363 \h </w:instrText>
      </w:r>
      <w:r>
        <w:fldChar w:fldCharType="separate"/>
      </w:r>
      <w:r>
        <w:t>139</w:t>
      </w:r>
      <w:r>
        <w:fldChar w:fldCharType="end"/>
      </w:r>
      <w:r>
        <w:fldChar w:fldCharType="end"/>
      </w:r>
    </w:p>
    <w:p>
      <w:pPr>
        <w:pStyle w:val="TOC2"/>
        <w:rPr>
          <w:rFonts w:ascii="Calibri" w:hAnsi="Calibri"/>
          <w:noProof/>
          <w:sz w:val="22"/>
        </w:rPr>
      </w:pPr>
      <w:r>
        <w:fldChar w:fldCharType="begin"/>
      </w:r>
      <w:r>
        <w:instrText xml:space="preserve"> HYPERLINK \l "_Toc256000364" </w:instrText>
      </w:r>
      <w:r>
        <w:fldChar w:fldCharType="separate"/>
      </w:r>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_Toc256000364 \h </w:instrText>
      </w:r>
      <w:r>
        <w:fldChar w:fldCharType="separate"/>
      </w:r>
      <w:r>
        <w:t>139</w:t>
      </w:r>
      <w:r>
        <w:fldChar w:fldCharType="end"/>
      </w:r>
      <w:r>
        <w:fldChar w:fldCharType="end"/>
      </w:r>
    </w:p>
    <w:p>
      <w:pPr>
        <w:pStyle w:val="TOC2"/>
        <w:rPr>
          <w:rFonts w:ascii="Calibri" w:hAnsi="Calibri"/>
          <w:noProof/>
          <w:sz w:val="22"/>
        </w:rPr>
      </w:pPr>
      <w:r>
        <w:fldChar w:fldCharType="begin"/>
      </w:r>
      <w:r>
        <w:instrText xml:space="preserve"> HYPERLINK \l "_Toc256000365" </w:instrText>
      </w:r>
      <w:r>
        <w:fldChar w:fldCharType="separate"/>
      </w:r>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_Toc256000365 \h </w:instrText>
      </w:r>
      <w:r>
        <w:fldChar w:fldCharType="separate"/>
      </w:r>
      <w:r>
        <w:t>140</w:t>
      </w:r>
      <w:r>
        <w:fldChar w:fldCharType="end"/>
      </w:r>
      <w:r>
        <w:fldChar w:fldCharType="end"/>
      </w:r>
    </w:p>
    <w:p>
      <w:pPr>
        <w:pStyle w:val="TOC3"/>
        <w:rPr>
          <w:rFonts w:ascii="Calibri" w:hAnsi="Calibri"/>
          <w:noProof/>
          <w:sz w:val="22"/>
        </w:rPr>
      </w:pPr>
      <w:r>
        <w:fldChar w:fldCharType="begin"/>
      </w:r>
      <w:r>
        <w:instrText xml:space="preserve"> HYPERLINK \l "_Toc256000366" </w:instrText>
      </w:r>
      <w:r>
        <w:fldChar w:fldCharType="separate"/>
      </w:r>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_Toc256000366 \h </w:instrText>
      </w:r>
      <w:r>
        <w:fldChar w:fldCharType="separate"/>
      </w:r>
      <w:r>
        <w:t>166</w:t>
      </w:r>
      <w:r>
        <w:fldChar w:fldCharType="end"/>
      </w:r>
      <w:r>
        <w:fldChar w:fldCharType="end"/>
      </w:r>
    </w:p>
    <w:p>
      <w:pPr>
        <w:pStyle w:val="TOC3"/>
        <w:rPr>
          <w:rFonts w:ascii="Calibri" w:hAnsi="Calibri"/>
          <w:noProof/>
          <w:sz w:val="22"/>
        </w:rPr>
      </w:pPr>
      <w:r>
        <w:fldChar w:fldCharType="begin"/>
      </w:r>
      <w:r>
        <w:instrText xml:space="preserve"> HYPERLINK \l "_Toc256000367" </w:instrText>
      </w:r>
      <w:r>
        <w:fldChar w:fldCharType="separate"/>
      </w:r>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_Toc256000367 \h </w:instrText>
      </w:r>
      <w:r>
        <w:fldChar w:fldCharType="separate"/>
      </w:r>
      <w:r>
        <w:t>169</w:t>
      </w:r>
      <w:r>
        <w:fldChar w:fldCharType="end"/>
      </w:r>
      <w:r>
        <w:fldChar w:fldCharType="end"/>
      </w:r>
    </w:p>
    <w:p>
      <w:pPr>
        <w:pStyle w:val="TOC1"/>
        <w:rPr>
          <w:rFonts w:ascii="Calibri" w:hAnsi="Calibri"/>
          <w:noProof/>
          <w:sz w:val="22"/>
        </w:rPr>
      </w:pPr>
      <w:r>
        <w:fldChar w:fldCharType="begin"/>
      </w:r>
      <w:r>
        <w:instrText xml:space="preserve"> HYPERLINK \l "_Toc256000368" </w:instrText>
      </w:r>
      <w:r>
        <w:fldChar w:fldCharType="separate"/>
      </w:r>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_Toc256000368 \h </w:instrText>
      </w:r>
      <w:r>
        <w:fldChar w:fldCharType="separate"/>
      </w:r>
      <w:r>
        <w:t>173</w:t>
      </w:r>
      <w:r>
        <w:fldChar w:fldCharType="end"/>
      </w:r>
      <w:r>
        <w:fldChar w:fldCharType="end"/>
      </w:r>
    </w:p>
    <w:p>
      <w:pPr>
        <w:pStyle w:val="TOC2"/>
        <w:rPr>
          <w:rFonts w:ascii="Calibri" w:hAnsi="Calibri"/>
          <w:noProof/>
          <w:sz w:val="22"/>
        </w:rPr>
      </w:pPr>
      <w:r>
        <w:fldChar w:fldCharType="begin"/>
      </w:r>
      <w:r>
        <w:instrText xml:space="preserve"> HYPERLINK \l "_Toc256000369" </w:instrText>
      </w:r>
      <w:r>
        <w:fldChar w:fldCharType="separate"/>
      </w:r>
      <w:r>
        <w:rPr>
          <w:rStyle w:val="Hyperlink"/>
        </w:rPr>
        <w:t>7.1.</w:t>
      </w:r>
      <w:r>
        <w:rPr>
          <w:rStyle w:val="Hyperlink"/>
        </w:rPr>
        <w:t xml:space="preserve"> </w:t>
      </w:r>
      <w:r>
        <w:rPr>
          <w:rStyle w:val="Hyperlink"/>
        </w:rPr>
        <w:t>Показатели</w:t>
      </w:r>
      <w:r>
        <w:tab/>
      </w:r>
      <w:r>
        <w:fldChar w:fldCharType="begin"/>
      </w:r>
      <w:r>
        <w:instrText xml:space="preserve"> PAGEREF _Toc256000369 \h </w:instrText>
      </w:r>
      <w:r>
        <w:fldChar w:fldCharType="separate"/>
      </w:r>
      <w:r>
        <w:t>173</w:t>
      </w:r>
      <w:r>
        <w:fldChar w:fldCharType="end"/>
      </w:r>
      <w:r>
        <w:fldChar w:fldCharType="end"/>
      </w:r>
    </w:p>
    <w:p>
      <w:pPr>
        <w:pStyle w:val="TOC3"/>
        <w:rPr>
          <w:rFonts w:ascii="Calibri" w:hAnsi="Calibri"/>
          <w:noProof/>
          <w:sz w:val="22"/>
        </w:rPr>
      </w:pPr>
      <w:r>
        <w:fldChar w:fldCharType="begin"/>
      </w:r>
      <w:r>
        <w:instrText xml:space="preserve"> HYPERLINK \l "_Toc256000370" </w:instrText>
      </w:r>
      <w:r>
        <w:fldChar w:fldCharType="separate"/>
      </w:r>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_Toc256000370 \h </w:instrText>
      </w:r>
      <w:r>
        <w:fldChar w:fldCharType="separate"/>
      </w:r>
      <w:r>
        <w:t>177</w:t>
      </w:r>
      <w:r>
        <w:fldChar w:fldCharType="end"/>
      </w:r>
      <w:r>
        <w:fldChar w:fldCharType="end"/>
      </w:r>
    </w:p>
    <w:p>
      <w:pPr>
        <w:pStyle w:val="TOC3"/>
        <w:rPr>
          <w:rFonts w:ascii="Calibri" w:hAnsi="Calibri"/>
          <w:noProof/>
          <w:sz w:val="22"/>
        </w:rPr>
      </w:pPr>
      <w:r>
        <w:fldChar w:fldCharType="begin"/>
      </w:r>
      <w:r>
        <w:instrText xml:space="preserve"> HYPERLINK \l "_Toc256000371" </w:instrText>
      </w:r>
      <w:r>
        <w:fldChar w:fldCharType="separate"/>
      </w:r>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_Toc256000371 \h </w:instrText>
      </w:r>
      <w:r>
        <w:fldChar w:fldCharType="separate"/>
      </w:r>
      <w:r>
        <w:t>177</w:t>
      </w:r>
      <w:r>
        <w:fldChar w:fldCharType="end"/>
      </w:r>
      <w:r>
        <w:fldChar w:fldCharType="end"/>
      </w:r>
    </w:p>
    <w:p>
      <w:pPr>
        <w:pStyle w:val="TOC3"/>
        <w:rPr>
          <w:rFonts w:ascii="Calibri" w:hAnsi="Calibri"/>
          <w:noProof/>
          <w:sz w:val="22"/>
        </w:rPr>
      </w:pPr>
      <w:r>
        <w:fldChar w:fldCharType="begin"/>
      </w:r>
      <w:r>
        <w:instrText xml:space="preserve"> HYPERLINK \l "_Toc256000372" </w:instrText>
      </w:r>
      <w:r>
        <w:fldChar w:fldCharType="separate"/>
      </w:r>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_Toc256000372 \h </w:instrText>
      </w:r>
      <w:r>
        <w:fldChar w:fldCharType="separate"/>
      </w:r>
      <w:r>
        <w:t>178</w:t>
      </w:r>
      <w:r>
        <w:fldChar w:fldCharType="end"/>
      </w:r>
      <w:r>
        <w:fldChar w:fldCharType="end"/>
      </w:r>
    </w:p>
    <w:p>
      <w:pPr>
        <w:pStyle w:val="TOC3"/>
        <w:rPr>
          <w:rFonts w:ascii="Calibri" w:hAnsi="Calibri"/>
          <w:noProof/>
          <w:sz w:val="22"/>
        </w:rPr>
      </w:pPr>
      <w:r>
        <w:fldChar w:fldCharType="begin"/>
      </w:r>
      <w:r>
        <w:instrText xml:space="preserve"> HYPERLINK \l "_Toc256000373" </w:instrText>
      </w:r>
      <w:r>
        <w:fldChar w:fldCharType="separate"/>
      </w:r>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_Toc256000373 \h </w:instrText>
      </w:r>
      <w:r>
        <w:fldChar w:fldCharType="separate"/>
      </w:r>
      <w:r>
        <w:t>179</w:t>
      </w:r>
      <w:r>
        <w:fldChar w:fldCharType="end"/>
      </w:r>
      <w:r>
        <w:fldChar w:fldCharType="end"/>
      </w:r>
    </w:p>
    <w:p>
      <w:pPr>
        <w:pStyle w:val="TOC3"/>
        <w:rPr>
          <w:rFonts w:ascii="Calibri" w:hAnsi="Calibri"/>
          <w:noProof/>
          <w:sz w:val="22"/>
        </w:rPr>
      </w:pPr>
      <w:r>
        <w:fldChar w:fldCharType="begin"/>
      </w:r>
      <w:r>
        <w:instrText xml:space="preserve"> HYPERLINK \l "_Toc256000374" </w:instrText>
      </w:r>
      <w:r>
        <w:fldChar w:fldCharType="separate"/>
      </w:r>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_Toc256000374 \h </w:instrText>
      </w:r>
      <w:r>
        <w:fldChar w:fldCharType="separate"/>
      </w:r>
      <w:r>
        <w:t>180</w:t>
      </w:r>
      <w:r>
        <w:fldChar w:fldCharType="end"/>
      </w:r>
      <w:r>
        <w:fldChar w:fldCharType="end"/>
      </w:r>
    </w:p>
    <w:p>
      <w:pPr>
        <w:pStyle w:val="TOC2"/>
        <w:rPr>
          <w:rFonts w:ascii="Calibri" w:hAnsi="Calibri"/>
          <w:noProof/>
          <w:sz w:val="22"/>
        </w:rPr>
      </w:pPr>
      <w:r>
        <w:fldChar w:fldCharType="begin"/>
      </w:r>
      <w:r>
        <w:instrText xml:space="preserve"> HYPERLINK \l "_Toc256000375" </w:instrText>
      </w:r>
      <w:r>
        <w:fldChar w:fldCharType="separate"/>
      </w:r>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_Toc256000375 \h </w:instrText>
      </w:r>
      <w:r>
        <w:fldChar w:fldCharType="separate"/>
      </w:r>
      <w:r>
        <w:t>182</w:t>
      </w:r>
      <w:r>
        <w:fldChar w:fldCharType="end"/>
      </w:r>
      <w:r>
        <w:fldChar w:fldCharType="end"/>
      </w:r>
    </w:p>
    <w:p>
      <w:pPr>
        <w:pStyle w:val="TOC3"/>
        <w:rPr>
          <w:rFonts w:ascii="Calibri" w:hAnsi="Calibri"/>
          <w:noProof/>
          <w:sz w:val="22"/>
        </w:rPr>
      </w:pPr>
      <w:r>
        <w:fldChar w:fldCharType="begin"/>
      </w:r>
      <w:r>
        <w:instrText xml:space="preserve"> HYPERLINK \l "_Toc256000376" </w:instrText>
      </w:r>
      <w:r>
        <w:fldChar w:fldCharType="separate"/>
      </w:r>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_Toc256000376 \h </w:instrText>
      </w:r>
      <w:r>
        <w:fldChar w:fldCharType="separate"/>
      </w:r>
      <w:r>
        <w:t>182</w:t>
      </w:r>
      <w:r>
        <w:fldChar w:fldCharType="end"/>
      </w:r>
      <w:r>
        <w:fldChar w:fldCharType="end"/>
      </w:r>
    </w:p>
    <w:p>
      <w:pPr>
        <w:pStyle w:val="TOC2"/>
        <w:rPr>
          <w:rFonts w:ascii="Calibri" w:hAnsi="Calibri"/>
          <w:noProof/>
          <w:sz w:val="22"/>
        </w:rPr>
      </w:pPr>
      <w:r>
        <w:fldChar w:fldCharType="begin"/>
      </w:r>
      <w:r>
        <w:instrText xml:space="preserve"> HYPERLINK \l "_Toc256000377" </w:instrText>
      </w:r>
      <w:r>
        <w:fldChar w:fldCharType="separate"/>
      </w:r>
      <w:r>
        <w:rPr>
          <w:rStyle w:val="Hyperlink"/>
        </w:rPr>
        <w:t>7.3.</w:t>
      </w:r>
      <w:r>
        <w:rPr>
          <w:rStyle w:val="Hyperlink"/>
        </w:rPr>
        <w:t xml:space="preserve"> </w:t>
      </w:r>
      <w:r>
        <w:rPr>
          <w:rStyle w:val="Hyperlink"/>
        </w:rPr>
        <w:t>Резерв</w:t>
      </w:r>
      <w:r>
        <w:tab/>
      </w:r>
      <w:r>
        <w:fldChar w:fldCharType="begin"/>
      </w:r>
      <w:r>
        <w:instrText xml:space="preserve"> PAGEREF _Toc256000377 \h </w:instrText>
      </w:r>
      <w:r>
        <w:fldChar w:fldCharType="separate"/>
      </w:r>
      <w:r>
        <w:t>184</w:t>
      </w:r>
      <w:r>
        <w:fldChar w:fldCharType="end"/>
      </w:r>
      <w:r>
        <w:fldChar w:fldCharType="end"/>
      </w:r>
    </w:p>
    <w:p>
      <w:pPr>
        <w:pStyle w:val="TOC1"/>
        <w:rPr>
          <w:rFonts w:ascii="Calibri" w:hAnsi="Calibri"/>
          <w:noProof/>
          <w:sz w:val="22"/>
        </w:rPr>
      </w:pPr>
      <w:r>
        <w:fldChar w:fldCharType="begin"/>
      </w:r>
      <w:r>
        <w:instrText xml:space="preserve"> HYPERLINK \l "_Toc256000378" </w:instrText>
      </w:r>
      <w:r>
        <w:fldChar w:fldCharType="separate"/>
      </w:r>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_Toc256000378 \h </w:instrText>
      </w:r>
      <w:r>
        <w:fldChar w:fldCharType="separate"/>
      </w:r>
      <w:r>
        <w:t>186</w:t>
      </w:r>
      <w:r>
        <w:fldChar w:fldCharType="end"/>
      </w:r>
      <w:r>
        <w:fldChar w:fldCharType="end"/>
      </w:r>
    </w:p>
    <w:p>
      <w:pPr>
        <w:pStyle w:val="TOC2"/>
        <w:rPr>
          <w:rFonts w:ascii="Calibri" w:hAnsi="Calibri"/>
          <w:noProof/>
          <w:sz w:val="22"/>
        </w:rPr>
      </w:pPr>
      <w:r>
        <w:fldChar w:fldCharType="begin"/>
      </w:r>
      <w:r>
        <w:instrText xml:space="preserve"> HYPERLINK \l "_Toc256000379" </w:instrText>
      </w:r>
      <w:r>
        <w:fldChar w:fldCharType="separate"/>
      </w:r>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_Toc256000379 \h </w:instrText>
      </w:r>
      <w:r>
        <w:fldChar w:fldCharType="separate"/>
      </w:r>
      <w:r>
        <w:t>186</w:t>
      </w:r>
      <w:r>
        <w:fldChar w:fldCharType="end"/>
      </w:r>
      <w:r>
        <w:fldChar w:fldCharType="end"/>
      </w:r>
    </w:p>
    <w:p>
      <w:pPr>
        <w:pStyle w:val="TOC2"/>
        <w:rPr>
          <w:rFonts w:ascii="Calibri" w:hAnsi="Calibri"/>
          <w:noProof/>
          <w:sz w:val="22"/>
        </w:rPr>
      </w:pPr>
      <w:r>
        <w:fldChar w:fldCharType="begin"/>
      </w:r>
      <w:r>
        <w:instrText xml:space="preserve"> HYPERLINK \l "_Toc256000380" </w:instrText>
      </w:r>
      <w:r>
        <w:fldChar w:fldCharType="separate"/>
      </w:r>
      <w:r>
        <w:rPr>
          <w:rStyle w:val="Hyperlink"/>
        </w:rPr>
        <w:t>8.2.</w:t>
      </w:r>
      <w:r>
        <w:rPr>
          <w:rStyle w:val="Hyperlink"/>
        </w:rPr>
        <w:t xml:space="preserve"> </w:t>
      </w:r>
      <w:r>
        <w:rPr>
          <w:rStyle w:val="Hyperlink"/>
        </w:rPr>
        <w:t>Описание по мярка</w:t>
      </w:r>
      <w:r>
        <w:tab/>
      </w:r>
      <w:r>
        <w:fldChar w:fldCharType="begin"/>
      </w:r>
      <w:r>
        <w:instrText xml:space="preserve"> PAGEREF _Toc256000380 \h </w:instrText>
      </w:r>
      <w:r>
        <w:fldChar w:fldCharType="separate"/>
      </w:r>
      <w:r>
        <w:t>193</w:t>
      </w:r>
      <w:r>
        <w:fldChar w:fldCharType="end"/>
      </w:r>
      <w:r>
        <w:fldChar w:fldCharType="end"/>
      </w:r>
    </w:p>
    <w:p>
      <w:pPr>
        <w:pStyle w:val="TOC3"/>
        <w:rPr>
          <w:rFonts w:ascii="Calibri" w:hAnsi="Calibri"/>
          <w:noProof/>
          <w:sz w:val="22"/>
        </w:rPr>
      </w:pPr>
      <w:r>
        <w:fldChar w:fldCharType="begin"/>
      </w:r>
      <w:r>
        <w:instrText xml:space="preserve"> HYPERLINK \l "_Toc256000381" </w:instrText>
      </w:r>
      <w:r>
        <w:fldChar w:fldCharType="separate"/>
      </w:r>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_Toc256000381 \h </w:instrText>
      </w:r>
      <w:r>
        <w:fldChar w:fldCharType="separate"/>
      </w:r>
      <w:r>
        <w:t>193</w:t>
      </w:r>
      <w:r>
        <w:fldChar w:fldCharType="end"/>
      </w:r>
      <w:r>
        <w:fldChar w:fldCharType="end"/>
      </w:r>
    </w:p>
    <w:p>
      <w:pPr>
        <w:pStyle w:val="TOC3"/>
        <w:rPr>
          <w:rFonts w:ascii="Calibri" w:hAnsi="Calibri"/>
          <w:noProof/>
          <w:sz w:val="22"/>
        </w:rPr>
      </w:pPr>
      <w:r>
        <w:fldChar w:fldCharType="begin"/>
      </w:r>
      <w:r>
        <w:instrText xml:space="preserve"> HYPERLINK \l "_Toc256000382" </w:instrText>
      </w:r>
      <w:r>
        <w:fldChar w:fldCharType="separate"/>
      </w:r>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_Toc256000382 \h </w:instrText>
      </w:r>
      <w:r>
        <w:fldChar w:fldCharType="separate"/>
      </w:r>
      <w:r>
        <w:t>220</w:t>
      </w:r>
      <w:r>
        <w:fldChar w:fldCharType="end"/>
      </w:r>
      <w:r>
        <w:fldChar w:fldCharType="end"/>
      </w:r>
    </w:p>
    <w:p>
      <w:pPr>
        <w:pStyle w:val="TOC3"/>
        <w:rPr>
          <w:rFonts w:ascii="Calibri" w:hAnsi="Calibri"/>
          <w:noProof/>
          <w:sz w:val="22"/>
        </w:rPr>
      </w:pPr>
      <w:r>
        <w:fldChar w:fldCharType="begin"/>
      </w:r>
      <w:r>
        <w:instrText xml:space="preserve"> HYPERLINK \l "_Toc256000383" </w:instrText>
      </w:r>
      <w:r>
        <w:fldChar w:fldCharType="separate"/>
      </w:r>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_Toc256000383 \h </w:instrText>
      </w:r>
      <w:r>
        <w:fldChar w:fldCharType="separate"/>
      </w:r>
      <w:r>
        <w:t>254</w:t>
      </w:r>
      <w:r>
        <w:fldChar w:fldCharType="end"/>
      </w:r>
      <w:r>
        <w:fldChar w:fldCharType="end"/>
      </w:r>
    </w:p>
    <w:p>
      <w:pPr>
        <w:pStyle w:val="TOC3"/>
        <w:rPr>
          <w:rFonts w:ascii="Calibri" w:hAnsi="Calibri"/>
          <w:noProof/>
          <w:sz w:val="22"/>
        </w:rPr>
      </w:pPr>
      <w:r>
        <w:fldChar w:fldCharType="begin"/>
      </w:r>
      <w:r>
        <w:instrText xml:space="preserve"> HYPERLINK \l "_Toc256000384" </w:instrText>
      </w:r>
      <w:r>
        <w:fldChar w:fldCharType="separate"/>
      </w:r>
      <w:r>
        <w:rPr>
          <w:rStyle w:val="Hyperlink"/>
        </w:rPr>
        <w:t>8.2.4.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_Toc256000384 \h </w:instrText>
      </w:r>
      <w:r>
        <w:fldChar w:fldCharType="separate"/>
      </w:r>
      <w:r>
        <w:t>334</w:t>
      </w:r>
      <w:r>
        <w:fldChar w:fldCharType="end"/>
      </w:r>
      <w:r>
        <w:fldChar w:fldCharType="end"/>
      </w:r>
    </w:p>
    <w:p>
      <w:pPr>
        <w:pStyle w:val="TOC3"/>
        <w:rPr>
          <w:rFonts w:ascii="Calibri" w:hAnsi="Calibri"/>
          <w:noProof/>
          <w:sz w:val="22"/>
        </w:rPr>
      </w:pPr>
      <w:r>
        <w:fldChar w:fldCharType="begin"/>
      </w:r>
      <w:r>
        <w:instrText xml:space="preserve"> HYPERLINK \l "_Toc256000385" </w:instrText>
      </w:r>
      <w:r>
        <w:fldChar w:fldCharType="separate"/>
      </w:r>
      <w:r>
        <w:rPr>
          <w:rStyle w:val="Hyperlink"/>
        </w:rPr>
        <w:t>8.2.5.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_Toc256000385 \h </w:instrText>
      </w:r>
      <w:r>
        <w:fldChar w:fldCharType="separate"/>
      </w:r>
      <w:r>
        <w:t>383</w:t>
      </w:r>
      <w:r>
        <w:fldChar w:fldCharType="end"/>
      </w:r>
      <w:r>
        <w:fldChar w:fldCharType="end"/>
      </w:r>
    </w:p>
    <w:p>
      <w:pPr>
        <w:pStyle w:val="TOC3"/>
        <w:rPr>
          <w:rFonts w:ascii="Calibri" w:hAnsi="Calibri"/>
          <w:noProof/>
          <w:sz w:val="22"/>
        </w:rPr>
      </w:pPr>
      <w:r>
        <w:fldChar w:fldCharType="begin"/>
      </w:r>
      <w:r>
        <w:instrText xml:space="preserve"> HYPERLINK \l "_Toc256000386" </w:instrText>
      </w:r>
      <w:r>
        <w:fldChar w:fldCharType="separate"/>
      </w:r>
      <w:r>
        <w:rPr>
          <w:rStyle w:val="Hyperlink"/>
        </w:rPr>
        <w:t>8.2.6.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_Toc256000386 \h </w:instrText>
      </w:r>
      <w:r>
        <w:fldChar w:fldCharType="separate"/>
      </w:r>
      <w:r>
        <w:t>423</w:t>
      </w:r>
      <w:r>
        <w:fldChar w:fldCharType="end"/>
      </w:r>
      <w:r>
        <w:fldChar w:fldCharType="end"/>
      </w:r>
    </w:p>
    <w:p>
      <w:pPr>
        <w:pStyle w:val="TOC3"/>
        <w:rPr>
          <w:rFonts w:ascii="Calibri" w:hAnsi="Calibri"/>
          <w:noProof/>
          <w:sz w:val="22"/>
        </w:rPr>
      </w:pPr>
      <w:r>
        <w:fldChar w:fldCharType="begin"/>
      </w:r>
      <w:r>
        <w:instrText xml:space="preserve"> HYPERLINK \l "_Toc256000387" </w:instrText>
      </w:r>
      <w:r>
        <w:fldChar w:fldCharType="separate"/>
      </w:r>
      <w:r>
        <w:rPr>
          <w:rStyle w:val="Hyperlink"/>
        </w:rPr>
        <w:t>8.2.7.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_Toc256000387 \h </w:instrText>
      </w:r>
      <w:r>
        <w:fldChar w:fldCharType="separate"/>
      </w:r>
      <w:r>
        <w:t>474</w:t>
      </w:r>
      <w:r>
        <w:fldChar w:fldCharType="end"/>
      </w:r>
      <w:r>
        <w:fldChar w:fldCharType="end"/>
      </w:r>
    </w:p>
    <w:p>
      <w:pPr>
        <w:pStyle w:val="TOC3"/>
        <w:rPr>
          <w:rFonts w:ascii="Calibri" w:hAnsi="Calibri"/>
          <w:noProof/>
          <w:sz w:val="22"/>
        </w:rPr>
      </w:pPr>
      <w:r>
        <w:fldChar w:fldCharType="begin"/>
      </w:r>
      <w:r>
        <w:instrText xml:space="preserve"> HYPERLINK \l "_Toc256000388" </w:instrText>
      </w:r>
      <w:r>
        <w:fldChar w:fldCharType="separate"/>
      </w:r>
      <w:r>
        <w:rPr>
          <w:rStyle w:val="Hyperlink"/>
        </w:rPr>
        <w:t>8.2.8.</w:t>
      </w:r>
      <w:r>
        <w:rPr>
          <w:rStyle w:val="Hyperlink"/>
        </w:rPr>
        <w:t xml:space="preserve"> </w:t>
      </w:r>
      <w:r>
        <w:rPr>
          <w:rStyle w:val="Hyperlink"/>
        </w:rPr>
        <w:t>M10 — Агроекология и климат (член 28)</w:t>
      </w:r>
      <w:r>
        <w:tab/>
      </w:r>
      <w:r>
        <w:fldChar w:fldCharType="begin"/>
      </w:r>
      <w:r>
        <w:instrText xml:space="preserve"> PAGEREF _Toc256000388 \h </w:instrText>
      </w:r>
      <w:r>
        <w:fldChar w:fldCharType="separate"/>
      </w:r>
      <w:r>
        <w:t>487</w:t>
      </w:r>
      <w:r>
        <w:fldChar w:fldCharType="end"/>
      </w:r>
      <w:r>
        <w:fldChar w:fldCharType="end"/>
      </w:r>
    </w:p>
    <w:p>
      <w:pPr>
        <w:pStyle w:val="TOC3"/>
        <w:rPr>
          <w:rFonts w:ascii="Calibri" w:hAnsi="Calibri"/>
          <w:noProof/>
          <w:sz w:val="22"/>
        </w:rPr>
      </w:pPr>
      <w:r>
        <w:fldChar w:fldCharType="begin"/>
      </w:r>
      <w:r>
        <w:instrText xml:space="preserve"> HYPERLINK \l "_Toc256000389" </w:instrText>
      </w:r>
      <w:r>
        <w:fldChar w:fldCharType="separate"/>
      </w:r>
      <w:r>
        <w:rPr>
          <w:rStyle w:val="Hyperlink"/>
        </w:rPr>
        <w:t>8.2.9.</w:t>
      </w:r>
      <w:r>
        <w:rPr>
          <w:rStyle w:val="Hyperlink"/>
        </w:rPr>
        <w:t xml:space="preserve"> </w:t>
      </w:r>
      <w:r>
        <w:rPr>
          <w:rStyle w:val="Hyperlink"/>
        </w:rPr>
        <w:t>М11 — Биологично земеделие (член 29)</w:t>
      </w:r>
      <w:r>
        <w:tab/>
      </w:r>
      <w:r>
        <w:fldChar w:fldCharType="begin"/>
      </w:r>
      <w:r>
        <w:instrText xml:space="preserve"> PAGEREF _Toc256000389 \h </w:instrText>
      </w:r>
      <w:r>
        <w:fldChar w:fldCharType="separate"/>
      </w:r>
      <w:r>
        <w:t>537</w:t>
      </w:r>
      <w:r>
        <w:fldChar w:fldCharType="end"/>
      </w:r>
      <w:r>
        <w:fldChar w:fldCharType="end"/>
      </w:r>
    </w:p>
    <w:p>
      <w:pPr>
        <w:pStyle w:val="TOC3"/>
        <w:rPr>
          <w:rFonts w:ascii="Calibri" w:hAnsi="Calibri"/>
          <w:noProof/>
          <w:sz w:val="22"/>
        </w:rPr>
      </w:pPr>
      <w:r>
        <w:fldChar w:fldCharType="begin"/>
      </w:r>
      <w:r>
        <w:instrText xml:space="preserve"> HYPERLINK \l "_Toc256000390" </w:instrText>
      </w:r>
      <w:r>
        <w:fldChar w:fldCharType="separate"/>
      </w:r>
      <w:r>
        <w:rPr>
          <w:rStyle w:val="Hyperlink"/>
        </w:rPr>
        <w:t>8.2.10.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_Toc256000390 \h </w:instrText>
      </w:r>
      <w:r>
        <w:fldChar w:fldCharType="separate"/>
      </w:r>
      <w:r>
        <w:t>560</w:t>
      </w:r>
      <w:r>
        <w:fldChar w:fldCharType="end"/>
      </w:r>
      <w:r>
        <w:fldChar w:fldCharType="end"/>
      </w:r>
    </w:p>
    <w:p>
      <w:pPr>
        <w:pStyle w:val="TOC3"/>
        <w:rPr>
          <w:rFonts w:ascii="Calibri" w:hAnsi="Calibri"/>
          <w:noProof/>
          <w:sz w:val="22"/>
        </w:rPr>
      </w:pPr>
      <w:r>
        <w:fldChar w:fldCharType="begin"/>
      </w:r>
      <w:r>
        <w:instrText xml:space="preserve"> HYPERLINK \l "_Toc256000391" </w:instrText>
      </w:r>
      <w:r>
        <w:fldChar w:fldCharType="separate"/>
      </w:r>
      <w:r>
        <w:rPr>
          <w:rStyle w:val="Hyperlink"/>
        </w:rPr>
        <w:t>8.2.11.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_Toc256000391 \h </w:instrText>
      </w:r>
      <w:r>
        <w:fldChar w:fldCharType="separate"/>
      </w:r>
      <w:r>
        <w:t>579</w:t>
      </w:r>
      <w:r>
        <w:fldChar w:fldCharType="end"/>
      </w:r>
      <w:r>
        <w:fldChar w:fldCharType="end"/>
      </w:r>
    </w:p>
    <w:p>
      <w:pPr>
        <w:pStyle w:val="TOC3"/>
        <w:rPr>
          <w:rFonts w:ascii="Calibri" w:hAnsi="Calibri"/>
          <w:noProof/>
          <w:sz w:val="22"/>
        </w:rPr>
      </w:pPr>
      <w:r>
        <w:fldChar w:fldCharType="begin"/>
      </w:r>
      <w:r>
        <w:instrText xml:space="preserve"> HYPERLINK \l "_Toc256000392" </w:instrText>
      </w:r>
      <w:r>
        <w:fldChar w:fldCharType="separate"/>
      </w:r>
      <w:r>
        <w:rPr>
          <w:rStyle w:val="Hyperlink"/>
        </w:rPr>
        <w:t>8.2.12.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_Toc256000392 \h </w:instrText>
      </w:r>
      <w:r>
        <w:fldChar w:fldCharType="separate"/>
      </w:r>
      <w:r>
        <w:t>595</w:t>
      </w:r>
      <w:r>
        <w:fldChar w:fldCharType="end"/>
      </w:r>
      <w:r>
        <w:fldChar w:fldCharType="end"/>
      </w:r>
    </w:p>
    <w:p>
      <w:pPr>
        <w:pStyle w:val="TOC3"/>
        <w:rPr>
          <w:rFonts w:ascii="Calibri" w:hAnsi="Calibri"/>
          <w:noProof/>
          <w:sz w:val="22"/>
        </w:rPr>
      </w:pPr>
      <w:r>
        <w:fldChar w:fldCharType="begin"/>
      </w:r>
      <w:r>
        <w:instrText xml:space="preserve"> HYPERLINK \l "_Toc256000393" </w:instrText>
      </w:r>
      <w:r>
        <w:fldChar w:fldCharType="separate"/>
      </w:r>
      <w:r>
        <w:rPr>
          <w:rStyle w:val="Hyperlink"/>
        </w:rPr>
        <w:t>8.2.13.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_Toc256000393 \h </w:instrText>
      </w:r>
      <w:r>
        <w:fldChar w:fldCharType="separate"/>
      </w:r>
      <w:r>
        <w:t>610</w:t>
      </w:r>
      <w:r>
        <w:fldChar w:fldCharType="end"/>
      </w:r>
      <w:r>
        <w:fldChar w:fldCharType="end"/>
      </w:r>
    </w:p>
    <w:p>
      <w:pPr>
        <w:pStyle w:val="TOC3"/>
        <w:rPr>
          <w:rFonts w:ascii="Calibri" w:hAnsi="Calibri"/>
          <w:noProof/>
          <w:sz w:val="22"/>
        </w:rPr>
      </w:pPr>
      <w:r>
        <w:fldChar w:fldCharType="begin"/>
      </w:r>
      <w:r>
        <w:instrText xml:space="preserve"> HYPERLINK \l "_Toc256000394" </w:instrText>
      </w:r>
      <w:r>
        <w:fldChar w:fldCharType="separate"/>
      </w:r>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_Toc256000394 \h </w:instrText>
      </w:r>
      <w:r>
        <w:fldChar w:fldCharType="separate"/>
      </w:r>
      <w:r>
        <w:t>620</w:t>
      </w:r>
      <w:r>
        <w:fldChar w:fldCharType="end"/>
      </w:r>
      <w:r>
        <w:fldChar w:fldCharType="end"/>
      </w:r>
    </w:p>
    <w:p>
      <w:pPr>
        <w:pStyle w:val="TOC3"/>
        <w:rPr>
          <w:rFonts w:ascii="Calibri" w:hAnsi="Calibri"/>
          <w:noProof/>
          <w:sz w:val="22"/>
        </w:rPr>
      </w:pPr>
      <w:r>
        <w:fldChar w:fldCharType="begin"/>
      </w:r>
      <w:r>
        <w:instrText xml:space="preserve"> HYPERLINK \l "_Toc256000395" </w:instrText>
      </w:r>
      <w:r>
        <w:fldChar w:fldCharType="separate"/>
      </w:r>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_Toc256000395 \h </w:instrText>
      </w:r>
      <w:r>
        <w:fldChar w:fldCharType="separate"/>
      </w:r>
      <w:r>
        <w:t>650</w:t>
      </w:r>
      <w:r>
        <w:fldChar w:fldCharType="end"/>
      </w:r>
      <w:r>
        <w:fldChar w:fldCharType="end"/>
      </w:r>
    </w:p>
    <w:p>
      <w:pPr>
        <w:pStyle w:val="TOC1"/>
        <w:rPr>
          <w:rFonts w:ascii="Calibri" w:hAnsi="Calibri"/>
          <w:noProof/>
          <w:sz w:val="22"/>
        </w:rPr>
      </w:pPr>
      <w:r>
        <w:fldChar w:fldCharType="begin"/>
      </w:r>
      <w:r>
        <w:instrText xml:space="preserve"> HYPERLINK \l "_Toc256000396" </w:instrText>
      </w:r>
      <w:r>
        <w:fldChar w:fldCharType="separate"/>
      </w:r>
      <w:r>
        <w:rPr>
          <w:rStyle w:val="Hyperlink"/>
        </w:rPr>
        <w:t>9.</w:t>
      </w:r>
      <w:r>
        <w:rPr>
          <w:rStyle w:val="Hyperlink"/>
        </w:rPr>
        <w:t xml:space="preserve"> </w:t>
      </w:r>
      <w:r>
        <w:rPr>
          <w:rStyle w:val="Hyperlink"/>
        </w:rPr>
        <w:t>План за оценка</w:t>
      </w:r>
      <w:r>
        <w:tab/>
      </w:r>
      <w:r>
        <w:fldChar w:fldCharType="begin"/>
      </w:r>
      <w:r>
        <w:instrText xml:space="preserve"> PAGEREF _Toc256000396 \h </w:instrText>
      </w:r>
      <w:r>
        <w:fldChar w:fldCharType="separate"/>
      </w:r>
      <w:r>
        <w:t>691</w:t>
      </w:r>
      <w:r>
        <w:fldChar w:fldCharType="end"/>
      </w:r>
      <w:r>
        <w:fldChar w:fldCharType="end"/>
      </w:r>
    </w:p>
    <w:p>
      <w:pPr>
        <w:pStyle w:val="TOC2"/>
        <w:rPr>
          <w:rFonts w:ascii="Calibri" w:hAnsi="Calibri"/>
          <w:noProof/>
          <w:sz w:val="22"/>
        </w:rPr>
      </w:pPr>
      <w:r>
        <w:fldChar w:fldCharType="begin"/>
      </w:r>
      <w:r>
        <w:instrText xml:space="preserve"> HYPERLINK \l "_Toc256000397" </w:instrText>
      </w:r>
      <w:r>
        <w:fldChar w:fldCharType="separate"/>
      </w:r>
      <w:r>
        <w:rPr>
          <w:rStyle w:val="Hyperlink"/>
        </w:rPr>
        <w:t>9.1.</w:t>
      </w:r>
      <w:r>
        <w:rPr>
          <w:rStyle w:val="Hyperlink"/>
        </w:rPr>
        <w:t xml:space="preserve"> </w:t>
      </w:r>
      <w:r>
        <w:rPr>
          <w:rStyle w:val="Hyperlink"/>
        </w:rPr>
        <w:t>Цели и задачи</w:t>
      </w:r>
      <w:r>
        <w:tab/>
      </w:r>
      <w:r>
        <w:fldChar w:fldCharType="begin"/>
      </w:r>
      <w:r>
        <w:instrText xml:space="preserve"> PAGEREF _Toc256000397 \h </w:instrText>
      </w:r>
      <w:r>
        <w:fldChar w:fldCharType="separate"/>
      </w:r>
      <w:r>
        <w:t>691</w:t>
      </w:r>
      <w:r>
        <w:fldChar w:fldCharType="end"/>
      </w:r>
      <w:r>
        <w:fldChar w:fldCharType="end"/>
      </w:r>
    </w:p>
    <w:p>
      <w:pPr>
        <w:pStyle w:val="TOC2"/>
        <w:rPr>
          <w:rFonts w:ascii="Calibri" w:hAnsi="Calibri"/>
          <w:noProof/>
          <w:sz w:val="22"/>
        </w:rPr>
      </w:pPr>
      <w:r>
        <w:fldChar w:fldCharType="begin"/>
      </w:r>
      <w:r>
        <w:instrText xml:space="preserve"> HYPERLINK \l "_Toc256000398" </w:instrText>
      </w:r>
      <w:r>
        <w:fldChar w:fldCharType="separate"/>
      </w:r>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_Toc256000398 \h </w:instrText>
      </w:r>
      <w:r>
        <w:fldChar w:fldCharType="separate"/>
      </w:r>
      <w:r>
        <w:t>692</w:t>
      </w:r>
      <w:r>
        <w:fldChar w:fldCharType="end"/>
      </w:r>
      <w:r>
        <w:fldChar w:fldCharType="end"/>
      </w:r>
    </w:p>
    <w:p>
      <w:pPr>
        <w:pStyle w:val="TOC2"/>
        <w:rPr>
          <w:rFonts w:ascii="Calibri" w:hAnsi="Calibri"/>
          <w:noProof/>
          <w:sz w:val="22"/>
        </w:rPr>
      </w:pPr>
      <w:r>
        <w:fldChar w:fldCharType="begin"/>
      </w:r>
      <w:r>
        <w:instrText xml:space="preserve"> HYPERLINK \l "_Toc256000399" </w:instrText>
      </w:r>
      <w:r>
        <w:fldChar w:fldCharType="separate"/>
      </w:r>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_Toc256000399 \h </w:instrText>
      </w:r>
      <w:r>
        <w:fldChar w:fldCharType="separate"/>
      </w:r>
      <w:r>
        <w:t>694</w:t>
      </w:r>
      <w:r>
        <w:fldChar w:fldCharType="end"/>
      </w:r>
      <w:r>
        <w:fldChar w:fldCharType="end"/>
      </w:r>
    </w:p>
    <w:p>
      <w:pPr>
        <w:pStyle w:val="TOC2"/>
        <w:rPr>
          <w:rFonts w:ascii="Calibri" w:hAnsi="Calibri"/>
          <w:noProof/>
          <w:sz w:val="22"/>
        </w:rPr>
      </w:pPr>
      <w:r>
        <w:fldChar w:fldCharType="begin"/>
      </w:r>
      <w:r>
        <w:instrText xml:space="preserve"> HYPERLINK \l "_Toc256000400" </w:instrText>
      </w:r>
      <w:r>
        <w:fldChar w:fldCharType="separate"/>
      </w:r>
      <w:r>
        <w:rPr>
          <w:rStyle w:val="Hyperlink"/>
        </w:rPr>
        <w:t>9.4.</w:t>
      </w:r>
      <w:r>
        <w:rPr>
          <w:rStyle w:val="Hyperlink"/>
        </w:rPr>
        <w:t xml:space="preserve"> </w:t>
      </w:r>
      <w:r>
        <w:rPr>
          <w:rStyle w:val="Hyperlink"/>
        </w:rPr>
        <w:t>Данни и информация</w:t>
      </w:r>
      <w:r>
        <w:tab/>
      </w:r>
      <w:r>
        <w:fldChar w:fldCharType="begin"/>
      </w:r>
      <w:r>
        <w:instrText xml:space="preserve"> PAGEREF _Toc256000400 \h </w:instrText>
      </w:r>
      <w:r>
        <w:fldChar w:fldCharType="separate"/>
      </w:r>
      <w:r>
        <w:t>698</w:t>
      </w:r>
      <w:r>
        <w:fldChar w:fldCharType="end"/>
      </w:r>
      <w:r>
        <w:fldChar w:fldCharType="end"/>
      </w:r>
    </w:p>
    <w:p>
      <w:pPr>
        <w:pStyle w:val="TOC2"/>
        <w:rPr>
          <w:rFonts w:ascii="Calibri" w:hAnsi="Calibri"/>
          <w:noProof/>
          <w:sz w:val="22"/>
        </w:rPr>
      </w:pPr>
      <w:r>
        <w:fldChar w:fldCharType="begin"/>
      </w:r>
      <w:r>
        <w:instrText xml:space="preserve"> HYPERLINK \l "_Toc256000401" </w:instrText>
      </w:r>
      <w:r>
        <w:fldChar w:fldCharType="separate"/>
      </w:r>
      <w:r>
        <w:rPr>
          <w:rStyle w:val="Hyperlink"/>
        </w:rPr>
        <w:t>9.5.</w:t>
      </w:r>
      <w:r>
        <w:rPr>
          <w:rStyle w:val="Hyperlink"/>
        </w:rPr>
        <w:t xml:space="preserve"> </w:t>
      </w:r>
      <w:r>
        <w:rPr>
          <w:rStyle w:val="Hyperlink"/>
        </w:rPr>
        <w:t>График</w:t>
      </w:r>
      <w:r>
        <w:tab/>
      </w:r>
      <w:r>
        <w:fldChar w:fldCharType="begin"/>
      </w:r>
      <w:r>
        <w:instrText xml:space="preserve"> PAGEREF _Toc256000401 \h </w:instrText>
      </w:r>
      <w:r>
        <w:fldChar w:fldCharType="separate"/>
      </w:r>
      <w:r>
        <w:t>700</w:t>
      </w:r>
      <w:r>
        <w:fldChar w:fldCharType="end"/>
      </w:r>
      <w:r>
        <w:fldChar w:fldCharType="end"/>
      </w:r>
    </w:p>
    <w:p>
      <w:pPr>
        <w:pStyle w:val="TOC2"/>
        <w:rPr>
          <w:rFonts w:ascii="Calibri" w:hAnsi="Calibri"/>
          <w:noProof/>
          <w:sz w:val="22"/>
        </w:rPr>
      </w:pPr>
      <w:r>
        <w:fldChar w:fldCharType="begin"/>
      </w:r>
      <w:r>
        <w:instrText xml:space="preserve"> HYPERLINK \l "_Toc256000402" </w:instrText>
      </w:r>
      <w:r>
        <w:fldChar w:fldCharType="separate"/>
      </w:r>
      <w:r>
        <w:rPr>
          <w:rStyle w:val="Hyperlink"/>
        </w:rPr>
        <w:t>9.6.</w:t>
      </w:r>
      <w:r>
        <w:rPr>
          <w:rStyle w:val="Hyperlink"/>
        </w:rPr>
        <w:t xml:space="preserve"> </w:t>
      </w:r>
      <w:r>
        <w:rPr>
          <w:rStyle w:val="Hyperlink"/>
        </w:rPr>
        <w:t>Комуникация</w:t>
      </w:r>
      <w:r>
        <w:tab/>
      </w:r>
      <w:r>
        <w:fldChar w:fldCharType="begin"/>
      </w:r>
      <w:r>
        <w:instrText xml:space="preserve"> PAGEREF _Toc256000402 \h </w:instrText>
      </w:r>
      <w:r>
        <w:fldChar w:fldCharType="separate"/>
      </w:r>
      <w:r>
        <w:t>701</w:t>
      </w:r>
      <w:r>
        <w:fldChar w:fldCharType="end"/>
      </w:r>
      <w:r>
        <w:fldChar w:fldCharType="end"/>
      </w:r>
    </w:p>
    <w:p>
      <w:pPr>
        <w:pStyle w:val="TOC2"/>
        <w:rPr>
          <w:rFonts w:ascii="Calibri" w:hAnsi="Calibri"/>
          <w:noProof/>
          <w:sz w:val="22"/>
        </w:rPr>
      </w:pPr>
      <w:r>
        <w:fldChar w:fldCharType="begin"/>
      </w:r>
      <w:r>
        <w:instrText xml:space="preserve"> HYPERLINK \l "_Toc256000403" </w:instrText>
      </w:r>
      <w:r>
        <w:fldChar w:fldCharType="separate"/>
      </w:r>
      <w:r>
        <w:rPr>
          <w:rStyle w:val="Hyperlink"/>
        </w:rPr>
        <w:t>9.7.</w:t>
      </w:r>
      <w:r>
        <w:rPr>
          <w:rStyle w:val="Hyperlink"/>
        </w:rPr>
        <w:t xml:space="preserve"> </w:t>
      </w:r>
      <w:r>
        <w:rPr>
          <w:rStyle w:val="Hyperlink"/>
        </w:rPr>
        <w:t>Ресурси</w:t>
      </w:r>
      <w:r>
        <w:tab/>
      </w:r>
      <w:r>
        <w:fldChar w:fldCharType="begin"/>
      </w:r>
      <w:r>
        <w:instrText xml:space="preserve"> PAGEREF _Toc256000403 \h </w:instrText>
      </w:r>
      <w:r>
        <w:fldChar w:fldCharType="separate"/>
      </w:r>
      <w:r>
        <w:t>702</w:t>
      </w:r>
      <w:r>
        <w:fldChar w:fldCharType="end"/>
      </w:r>
      <w:r>
        <w:fldChar w:fldCharType="end"/>
      </w:r>
    </w:p>
    <w:p>
      <w:pPr>
        <w:pStyle w:val="TOC1"/>
        <w:rPr>
          <w:rFonts w:ascii="Calibri" w:hAnsi="Calibri"/>
          <w:noProof/>
          <w:sz w:val="22"/>
        </w:rPr>
      </w:pPr>
      <w:r>
        <w:fldChar w:fldCharType="begin"/>
      </w:r>
      <w:r>
        <w:instrText xml:space="preserve"> HYPERLINK \l "_Toc256000404" </w:instrText>
      </w:r>
      <w:r>
        <w:fldChar w:fldCharType="separate"/>
      </w:r>
      <w:r>
        <w:rPr>
          <w:rStyle w:val="Hyperlink"/>
        </w:rPr>
        <w:t>10.</w:t>
      </w:r>
      <w:r>
        <w:rPr>
          <w:rStyle w:val="Hyperlink"/>
        </w:rPr>
        <w:t xml:space="preserve"> </w:t>
      </w:r>
      <w:r>
        <w:rPr>
          <w:rStyle w:val="Hyperlink"/>
        </w:rPr>
        <w:t>Финансов план</w:t>
      </w:r>
      <w:r>
        <w:tab/>
      </w:r>
      <w:r>
        <w:fldChar w:fldCharType="begin"/>
      </w:r>
      <w:r>
        <w:instrText xml:space="preserve"> PAGEREF _Toc256000404 \h </w:instrText>
      </w:r>
      <w:r>
        <w:fldChar w:fldCharType="separate"/>
      </w:r>
      <w:r>
        <w:t>704</w:t>
      </w:r>
      <w:r>
        <w:fldChar w:fldCharType="end"/>
      </w:r>
      <w:r>
        <w:fldChar w:fldCharType="end"/>
      </w:r>
    </w:p>
    <w:p>
      <w:pPr>
        <w:pStyle w:val="TOC2"/>
        <w:rPr>
          <w:rFonts w:ascii="Calibri" w:hAnsi="Calibri"/>
          <w:noProof/>
          <w:sz w:val="22"/>
        </w:rPr>
      </w:pPr>
      <w:r>
        <w:fldChar w:fldCharType="begin"/>
      </w:r>
      <w:r>
        <w:instrText xml:space="preserve"> HYPERLINK \l "_Toc256000405" </w:instrText>
      </w:r>
      <w:r>
        <w:fldChar w:fldCharType="separate"/>
      </w:r>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_Toc256000405 \h </w:instrText>
      </w:r>
      <w:r>
        <w:fldChar w:fldCharType="separate"/>
      </w:r>
      <w:r>
        <w:t>704</w:t>
      </w:r>
      <w:r>
        <w:fldChar w:fldCharType="end"/>
      </w:r>
      <w:r>
        <w:fldChar w:fldCharType="end"/>
      </w:r>
    </w:p>
    <w:p>
      <w:pPr>
        <w:pStyle w:val="TOC2"/>
        <w:rPr>
          <w:rFonts w:ascii="Calibri" w:hAnsi="Calibri"/>
          <w:noProof/>
          <w:sz w:val="22"/>
        </w:rPr>
      </w:pPr>
      <w:r>
        <w:fldChar w:fldCharType="begin"/>
      </w:r>
      <w:r>
        <w:instrText xml:space="preserve"> HYPERLINK \l "_Toc256000406" </w:instrText>
      </w:r>
      <w:r>
        <w:fldChar w:fldCharType="separate"/>
      </w:r>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_Toc256000406 \h </w:instrText>
      </w:r>
      <w:r>
        <w:fldChar w:fldCharType="separate"/>
      </w:r>
      <w:r>
        <w:t>706</w:t>
      </w:r>
      <w:r>
        <w:fldChar w:fldCharType="end"/>
      </w:r>
      <w:r>
        <w:fldChar w:fldCharType="end"/>
      </w:r>
    </w:p>
    <w:p>
      <w:pPr>
        <w:pStyle w:val="TOC2"/>
        <w:rPr>
          <w:rFonts w:ascii="Calibri" w:hAnsi="Calibri"/>
          <w:noProof/>
          <w:sz w:val="22"/>
        </w:rPr>
      </w:pPr>
      <w:r>
        <w:fldChar w:fldCharType="begin"/>
      </w:r>
      <w:r>
        <w:instrText xml:space="preserve"> HYPERLINK \l "_Toc256000407" </w:instrText>
      </w:r>
      <w:r>
        <w:fldChar w:fldCharType="separate"/>
      </w:r>
      <w:r>
        <w:rPr>
          <w:rStyle w:val="Hyperlink"/>
        </w:rPr>
        <w:t>10.3.</w:t>
      </w:r>
      <w:r>
        <w:rPr>
          <w:rStyle w:val="Hyperlink"/>
        </w:rPr>
        <w:t xml:space="preserve"> </w:t>
      </w:r>
      <w:r>
        <w:rPr>
          <w:rStyle w:val="Hyperlink"/>
        </w:rPr>
        <w:t>Разбивката по мярка или вид операция, с конкретния размер на процентното участие на ЕЗФРСР (в евро за целия период 2014 — 2020 г.)</w:t>
      </w:r>
      <w:r>
        <w:tab/>
      </w:r>
      <w:r>
        <w:fldChar w:fldCharType="begin"/>
      </w:r>
      <w:r>
        <w:instrText xml:space="preserve"> PAGEREF _Toc256000407 \h </w:instrText>
      </w:r>
      <w:r>
        <w:fldChar w:fldCharType="separate"/>
      </w:r>
      <w:r>
        <w:t>707</w:t>
      </w:r>
      <w:r>
        <w:fldChar w:fldCharType="end"/>
      </w:r>
      <w:r>
        <w:fldChar w:fldCharType="end"/>
      </w:r>
    </w:p>
    <w:p>
      <w:pPr>
        <w:pStyle w:val="TOC3"/>
        <w:rPr>
          <w:rFonts w:ascii="Calibri" w:hAnsi="Calibri"/>
          <w:noProof/>
          <w:sz w:val="22"/>
        </w:rPr>
      </w:pPr>
      <w:r>
        <w:fldChar w:fldCharType="begin"/>
      </w:r>
      <w:r>
        <w:instrText xml:space="preserve"> HYPERLINK \l "_Toc256000408" </w:instrText>
      </w:r>
      <w:r>
        <w:fldChar w:fldCharType="separate"/>
      </w:r>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_Toc256000408 \h </w:instrText>
      </w:r>
      <w:r>
        <w:fldChar w:fldCharType="separate"/>
      </w:r>
      <w:r>
        <w:t>707</w:t>
      </w:r>
      <w:r>
        <w:fldChar w:fldCharType="end"/>
      </w:r>
      <w:r>
        <w:fldChar w:fldCharType="end"/>
      </w:r>
    </w:p>
    <w:p>
      <w:pPr>
        <w:pStyle w:val="TOC3"/>
        <w:rPr>
          <w:rFonts w:ascii="Calibri" w:hAnsi="Calibri"/>
          <w:noProof/>
          <w:sz w:val="22"/>
        </w:rPr>
      </w:pPr>
      <w:r>
        <w:fldChar w:fldCharType="begin"/>
      </w:r>
      <w:r>
        <w:instrText xml:space="preserve"> HYPERLINK \l "_Toc256000409" </w:instrText>
      </w:r>
      <w:r>
        <w:fldChar w:fldCharType="separate"/>
      </w:r>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_Toc256000409 \h </w:instrText>
      </w:r>
      <w:r>
        <w:fldChar w:fldCharType="separate"/>
      </w:r>
      <w:r>
        <w:t>709</w:t>
      </w:r>
      <w:r>
        <w:fldChar w:fldCharType="end"/>
      </w:r>
      <w:r>
        <w:fldChar w:fldCharType="end"/>
      </w:r>
    </w:p>
    <w:p>
      <w:pPr>
        <w:pStyle w:val="TOC3"/>
        <w:rPr>
          <w:rFonts w:ascii="Calibri" w:hAnsi="Calibri"/>
          <w:noProof/>
          <w:sz w:val="22"/>
        </w:rPr>
      </w:pPr>
      <w:r>
        <w:fldChar w:fldCharType="begin"/>
      </w:r>
      <w:r>
        <w:instrText xml:space="preserve"> HYPERLINK \l "_Toc256000410" </w:instrText>
      </w:r>
      <w:r>
        <w:fldChar w:fldCharType="separate"/>
      </w:r>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_Toc256000410 \h </w:instrText>
      </w:r>
      <w:r>
        <w:fldChar w:fldCharType="separate"/>
      </w:r>
      <w:r>
        <w:t>711</w:t>
      </w:r>
      <w:r>
        <w:fldChar w:fldCharType="end"/>
      </w:r>
      <w:r>
        <w:fldChar w:fldCharType="end"/>
      </w:r>
    </w:p>
    <w:p>
      <w:pPr>
        <w:pStyle w:val="TOC3"/>
        <w:rPr>
          <w:rFonts w:ascii="Calibri" w:hAnsi="Calibri"/>
          <w:noProof/>
          <w:sz w:val="22"/>
        </w:rPr>
      </w:pPr>
      <w:r>
        <w:fldChar w:fldCharType="begin"/>
      </w:r>
      <w:r>
        <w:instrText xml:space="preserve"> HYPERLINK \l "_Toc256000411" </w:instrText>
      </w:r>
      <w:r>
        <w:fldChar w:fldCharType="separate"/>
      </w:r>
      <w:r>
        <w:rPr>
          <w:rStyle w:val="Hyperlink"/>
        </w:rPr>
        <w:t>10.3.4.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_Toc256000411 \h </w:instrText>
      </w:r>
      <w:r>
        <w:fldChar w:fldCharType="separate"/>
      </w:r>
      <w:r>
        <w:t>713</w:t>
      </w:r>
      <w:r>
        <w:fldChar w:fldCharType="end"/>
      </w:r>
      <w:r>
        <w:fldChar w:fldCharType="end"/>
      </w:r>
    </w:p>
    <w:p>
      <w:pPr>
        <w:pStyle w:val="TOC3"/>
        <w:rPr>
          <w:rFonts w:ascii="Calibri" w:hAnsi="Calibri"/>
          <w:noProof/>
          <w:sz w:val="22"/>
        </w:rPr>
      </w:pPr>
      <w:r>
        <w:fldChar w:fldCharType="begin"/>
      </w:r>
      <w:r>
        <w:instrText xml:space="preserve"> HYPERLINK \l "_Toc256000412" </w:instrText>
      </w:r>
      <w:r>
        <w:fldChar w:fldCharType="separate"/>
      </w:r>
      <w:r>
        <w:rPr>
          <w:rStyle w:val="Hyperlink"/>
        </w:rPr>
        <w:t>10.3.5.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_Toc256000412 \h </w:instrText>
      </w:r>
      <w:r>
        <w:fldChar w:fldCharType="separate"/>
      </w:r>
      <w:r>
        <w:t>715</w:t>
      </w:r>
      <w:r>
        <w:fldChar w:fldCharType="end"/>
      </w:r>
      <w:r>
        <w:fldChar w:fldCharType="end"/>
      </w:r>
    </w:p>
    <w:p>
      <w:pPr>
        <w:pStyle w:val="TOC3"/>
        <w:rPr>
          <w:rFonts w:ascii="Calibri" w:hAnsi="Calibri"/>
          <w:noProof/>
          <w:sz w:val="22"/>
        </w:rPr>
      </w:pPr>
      <w:r>
        <w:fldChar w:fldCharType="begin"/>
      </w:r>
      <w:r>
        <w:instrText xml:space="preserve"> HYPERLINK \l "_Toc256000413" </w:instrText>
      </w:r>
      <w:r>
        <w:fldChar w:fldCharType="separate"/>
      </w:r>
      <w:r>
        <w:rPr>
          <w:rStyle w:val="Hyperlink"/>
        </w:rPr>
        <w:t>10.3.6.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_Toc256000413 \h </w:instrText>
      </w:r>
      <w:r>
        <w:fldChar w:fldCharType="separate"/>
      </w:r>
      <w:r>
        <w:t>716</w:t>
      </w:r>
      <w:r>
        <w:fldChar w:fldCharType="end"/>
      </w:r>
      <w:r>
        <w:fldChar w:fldCharType="end"/>
      </w:r>
    </w:p>
    <w:p>
      <w:pPr>
        <w:pStyle w:val="TOC3"/>
        <w:rPr>
          <w:rFonts w:ascii="Calibri" w:hAnsi="Calibri"/>
          <w:noProof/>
          <w:sz w:val="22"/>
        </w:rPr>
      </w:pPr>
      <w:r>
        <w:fldChar w:fldCharType="begin"/>
      </w:r>
      <w:r>
        <w:instrText xml:space="preserve"> HYPERLINK \l "_Toc256000414" </w:instrText>
      </w:r>
      <w:r>
        <w:fldChar w:fldCharType="separate"/>
      </w:r>
      <w:r>
        <w:rPr>
          <w:rStyle w:val="Hyperlink"/>
        </w:rPr>
        <w:t>10.3.7.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_Toc256000414 \h </w:instrText>
      </w:r>
      <w:r>
        <w:fldChar w:fldCharType="separate"/>
      </w:r>
      <w:r>
        <w:t>718</w:t>
      </w:r>
      <w:r>
        <w:fldChar w:fldCharType="end"/>
      </w:r>
      <w:r>
        <w:fldChar w:fldCharType="end"/>
      </w:r>
    </w:p>
    <w:p>
      <w:pPr>
        <w:pStyle w:val="TOC3"/>
        <w:rPr>
          <w:rFonts w:ascii="Calibri" w:hAnsi="Calibri"/>
          <w:noProof/>
          <w:sz w:val="22"/>
        </w:rPr>
      </w:pPr>
      <w:r>
        <w:fldChar w:fldCharType="begin"/>
      </w:r>
      <w:r>
        <w:instrText xml:space="preserve"> HYPERLINK \l "_Toc256000415" </w:instrText>
      </w:r>
      <w:r>
        <w:fldChar w:fldCharType="separate"/>
      </w:r>
      <w:r>
        <w:rPr>
          <w:rStyle w:val="Hyperlink"/>
        </w:rPr>
        <w:t>10.3.8.</w:t>
      </w:r>
      <w:r>
        <w:rPr>
          <w:rStyle w:val="Hyperlink"/>
        </w:rPr>
        <w:t xml:space="preserve"> </w:t>
      </w:r>
      <w:r>
        <w:rPr>
          <w:rStyle w:val="Hyperlink"/>
        </w:rPr>
        <w:t>M10 — Агроекология и климат (член 28)</w:t>
      </w:r>
      <w:r>
        <w:tab/>
      </w:r>
      <w:r>
        <w:fldChar w:fldCharType="begin"/>
      </w:r>
      <w:r>
        <w:instrText xml:space="preserve"> PAGEREF _Toc256000415 \h </w:instrText>
      </w:r>
      <w:r>
        <w:fldChar w:fldCharType="separate"/>
      </w:r>
      <w:r>
        <w:t>720</w:t>
      </w:r>
      <w:r>
        <w:fldChar w:fldCharType="end"/>
      </w:r>
      <w:r>
        <w:fldChar w:fldCharType="end"/>
      </w:r>
    </w:p>
    <w:p>
      <w:pPr>
        <w:pStyle w:val="TOC3"/>
        <w:rPr>
          <w:rFonts w:ascii="Calibri" w:hAnsi="Calibri"/>
          <w:noProof/>
          <w:sz w:val="22"/>
        </w:rPr>
      </w:pPr>
      <w:r>
        <w:fldChar w:fldCharType="begin"/>
      </w:r>
      <w:r>
        <w:instrText xml:space="preserve"> HYPERLINK \l "_Toc256000416" </w:instrText>
      </w:r>
      <w:r>
        <w:fldChar w:fldCharType="separate"/>
      </w:r>
      <w:r>
        <w:rPr>
          <w:rStyle w:val="Hyperlink"/>
        </w:rPr>
        <w:t>10.3.9.</w:t>
      </w:r>
      <w:r>
        <w:rPr>
          <w:rStyle w:val="Hyperlink"/>
        </w:rPr>
        <w:t xml:space="preserve"> </w:t>
      </w:r>
      <w:r>
        <w:rPr>
          <w:rStyle w:val="Hyperlink"/>
        </w:rPr>
        <w:t>М11 — Биологично земеделие (член 29)</w:t>
      </w:r>
      <w:r>
        <w:tab/>
      </w:r>
      <w:r>
        <w:fldChar w:fldCharType="begin"/>
      </w:r>
      <w:r>
        <w:instrText xml:space="preserve"> PAGEREF _Toc256000416 \h </w:instrText>
      </w:r>
      <w:r>
        <w:fldChar w:fldCharType="separate"/>
      </w:r>
      <w:r>
        <w:t>722</w:t>
      </w:r>
      <w:r>
        <w:fldChar w:fldCharType="end"/>
      </w:r>
      <w:r>
        <w:fldChar w:fldCharType="end"/>
      </w:r>
    </w:p>
    <w:p>
      <w:pPr>
        <w:pStyle w:val="TOC3"/>
        <w:rPr>
          <w:rFonts w:ascii="Calibri" w:hAnsi="Calibri"/>
          <w:noProof/>
          <w:sz w:val="22"/>
        </w:rPr>
      </w:pPr>
      <w:r>
        <w:fldChar w:fldCharType="begin"/>
      </w:r>
      <w:r>
        <w:instrText xml:space="preserve"> HYPERLINK \l "_Toc256000417" </w:instrText>
      </w:r>
      <w:r>
        <w:fldChar w:fldCharType="separate"/>
      </w:r>
      <w:r>
        <w:rPr>
          <w:rStyle w:val="Hyperlink"/>
        </w:rPr>
        <w:t>10.3.10.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_Toc256000417 \h </w:instrText>
      </w:r>
      <w:r>
        <w:fldChar w:fldCharType="separate"/>
      </w:r>
      <w:r>
        <w:t>724</w:t>
      </w:r>
      <w:r>
        <w:fldChar w:fldCharType="end"/>
      </w:r>
      <w:r>
        <w:fldChar w:fldCharType="end"/>
      </w:r>
    </w:p>
    <w:p>
      <w:pPr>
        <w:pStyle w:val="TOC3"/>
        <w:rPr>
          <w:rFonts w:ascii="Calibri" w:hAnsi="Calibri"/>
          <w:noProof/>
          <w:sz w:val="22"/>
        </w:rPr>
      </w:pPr>
      <w:r>
        <w:fldChar w:fldCharType="begin"/>
      </w:r>
      <w:r>
        <w:instrText xml:space="preserve"> HYPERLINK \l "_Toc256000418" </w:instrText>
      </w:r>
      <w:r>
        <w:fldChar w:fldCharType="separate"/>
      </w:r>
      <w:r>
        <w:rPr>
          <w:rStyle w:val="Hyperlink"/>
        </w:rPr>
        <w:t>10.3.11.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_Toc256000418 \h </w:instrText>
      </w:r>
      <w:r>
        <w:fldChar w:fldCharType="separate"/>
      </w:r>
      <w:r>
        <w:t>726</w:t>
      </w:r>
      <w:r>
        <w:fldChar w:fldCharType="end"/>
      </w:r>
      <w:r>
        <w:fldChar w:fldCharType="end"/>
      </w:r>
    </w:p>
    <w:p>
      <w:pPr>
        <w:pStyle w:val="TOC3"/>
        <w:rPr>
          <w:rFonts w:ascii="Calibri" w:hAnsi="Calibri"/>
          <w:noProof/>
          <w:sz w:val="22"/>
        </w:rPr>
      </w:pPr>
      <w:r>
        <w:fldChar w:fldCharType="begin"/>
      </w:r>
      <w:r>
        <w:instrText xml:space="preserve"> HYPERLINK \l "_Toc256000419" </w:instrText>
      </w:r>
      <w:r>
        <w:fldChar w:fldCharType="separate"/>
      </w:r>
      <w:r>
        <w:rPr>
          <w:rStyle w:val="Hyperlink"/>
        </w:rPr>
        <w:t>10.3.12.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_Toc256000419 \h </w:instrText>
      </w:r>
      <w:r>
        <w:fldChar w:fldCharType="separate"/>
      </w:r>
      <w:r>
        <w:t>728</w:t>
      </w:r>
      <w:r>
        <w:fldChar w:fldCharType="end"/>
      </w:r>
      <w:r>
        <w:fldChar w:fldCharType="end"/>
      </w:r>
    </w:p>
    <w:p>
      <w:pPr>
        <w:pStyle w:val="TOC3"/>
        <w:rPr>
          <w:rFonts w:ascii="Calibri" w:hAnsi="Calibri"/>
          <w:noProof/>
          <w:sz w:val="22"/>
        </w:rPr>
      </w:pPr>
      <w:r>
        <w:fldChar w:fldCharType="begin"/>
      </w:r>
      <w:r>
        <w:instrText xml:space="preserve"> HYPERLINK \l "_Toc256000420" </w:instrText>
      </w:r>
      <w:r>
        <w:fldChar w:fldCharType="separate"/>
      </w:r>
      <w:r>
        <w:rPr>
          <w:rStyle w:val="Hyperlink"/>
        </w:rPr>
        <w:t>10.3.13.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_Toc256000420 \h </w:instrText>
      </w:r>
      <w:r>
        <w:fldChar w:fldCharType="separate"/>
      </w:r>
      <w:r>
        <w:t>729</w:t>
      </w:r>
      <w:r>
        <w:fldChar w:fldCharType="end"/>
      </w:r>
      <w:r>
        <w:fldChar w:fldCharType="end"/>
      </w:r>
    </w:p>
    <w:p>
      <w:pPr>
        <w:pStyle w:val="TOC3"/>
        <w:rPr>
          <w:rFonts w:ascii="Calibri" w:hAnsi="Calibri"/>
          <w:noProof/>
          <w:sz w:val="22"/>
        </w:rPr>
      </w:pPr>
      <w:r>
        <w:fldChar w:fldCharType="begin"/>
      </w:r>
      <w:r>
        <w:instrText xml:space="preserve"> HYPERLINK \l "_Toc256000421" </w:instrText>
      </w:r>
      <w:r>
        <w:fldChar w:fldCharType="separate"/>
      </w:r>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_Toc256000421 \h </w:instrText>
      </w:r>
      <w:r>
        <w:fldChar w:fldCharType="separate"/>
      </w:r>
      <w:r>
        <w:t>731</w:t>
      </w:r>
      <w:r>
        <w:fldChar w:fldCharType="end"/>
      </w:r>
      <w:r>
        <w:fldChar w:fldCharType="end"/>
      </w:r>
    </w:p>
    <w:p>
      <w:pPr>
        <w:pStyle w:val="TOC3"/>
        <w:rPr>
          <w:rFonts w:ascii="Calibri" w:hAnsi="Calibri"/>
          <w:noProof/>
          <w:sz w:val="22"/>
        </w:rPr>
      </w:pPr>
      <w:r>
        <w:fldChar w:fldCharType="begin"/>
      </w:r>
      <w:r>
        <w:instrText xml:space="preserve"> HYPERLINK \l "_Toc256000422" </w:instrText>
      </w:r>
      <w:r>
        <w:fldChar w:fldCharType="separate"/>
      </w:r>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_Toc256000422 \h </w:instrText>
      </w:r>
      <w:r>
        <w:fldChar w:fldCharType="separate"/>
      </w:r>
      <w:r>
        <w:t>733</w:t>
      </w:r>
      <w:r>
        <w:fldChar w:fldCharType="end"/>
      </w:r>
      <w:r>
        <w:fldChar w:fldCharType="end"/>
      </w:r>
    </w:p>
    <w:p>
      <w:pPr>
        <w:pStyle w:val="TOC3"/>
        <w:rPr>
          <w:rFonts w:ascii="Calibri" w:hAnsi="Calibri"/>
          <w:noProof/>
          <w:sz w:val="22"/>
        </w:rPr>
      </w:pPr>
      <w:r>
        <w:fldChar w:fldCharType="begin"/>
      </w:r>
      <w:r>
        <w:instrText xml:space="preserve"> HYPERLINK \l "_Toc256000423" </w:instrText>
      </w:r>
      <w:r>
        <w:fldChar w:fldCharType="separate"/>
      </w:r>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_Toc256000423 \h </w:instrText>
      </w:r>
      <w:r>
        <w:fldChar w:fldCharType="separate"/>
      </w:r>
      <w:r>
        <w:t>735</w:t>
      </w:r>
      <w:r>
        <w:fldChar w:fldCharType="end"/>
      </w:r>
      <w:r>
        <w:fldChar w:fldCharType="end"/>
      </w:r>
    </w:p>
    <w:p>
      <w:pPr>
        <w:pStyle w:val="TOC2"/>
        <w:rPr>
          <w:rFonts w:ascii="Calibri" w:hAnsi="Calibri"/>
          <w:noProof/>
          <w:sz w:val="22"/>
        </w:rPr>
      </w:pPr>
      <w:r>
        <w:fldChar w:fldCharType="begin"/>
      </w:r>
      <w:r>
        <w:instrText xml:space="preserve"> HYPERLINK \l "_Toc256000424" </w:instrText>
      </w:r>
      <w:r>
        <w:fldChar w:fldCharType="separate"/>
      </w:r>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_Toc256000424 \h </w:instrText>
      </w:r>
      <w:r>
        <w:fldChar w:fldCharType="separate"/>
      </w:r>
      <w:r>
        <w:t>736</w:t>
      </w:r>
      <w:r>
        <w:fldChar w:fldCharType="end"/>
      </w:r>
      <w:r>
        <w:fldChar w:fldCharType="end"/>
      </w:r>
    </w:p>
    <w:p>
      <w:pPr>
        <w:pStyle w:val="TOC1"/>
        <w:rPr>
          <w:rFonts w:ascii="Calibri" w:hAnsi="Calibri"/>
          <w:noProof/>
          <w:sz w:val="22"/>
        </w:rPr>
      </w:pPr>
      <w:r>
        <w:fldChar w:fldCharType="begin"/>
      </w:r>
      <w:r>
        <w:instrText xml:space="preserve"> HYPERLINK \l "_Toc256000425" </w:instrText>
      </w:r>
      <w:r>
        <w:fldChar w:fldCharType="separate"/>
      </w:r>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_Toc256000425 \h </w:instrText>
      </w:r>
      <w:r>
        <w:fldChar w:fldCharType="separate"/>
      </w:r>
      <w:r>
        <w:t>738</w:t>
      </w:r>
      <w:r>
        <w:fldChar w:fldCharType="end"/>
      </w:r>
      <w:r>
        <w:fldChar w:fldCharType="end"/>
      </w:r>
    </w:p>
    <w:p>
      <w:pPr>
        <w:pStyle w:val="TOC2"/>
        <w:rPr>
          <w:rFonts w:ascii="Calibri" w:hAnsi="Calibri"/>
          <w:noProof/>
          <w:sz w:val="22"/>
        </w:rPr>
      </w:pPr>
      <w:r>
        <w:fldChar w:fldCharType="begin"/>
      </w:r>
      <w:r>
        <w:instrText xml:space="preserve"> HYPERLINK \l "_Toc256000426" </w:instrText>
      </w:r>
      <w:r>
        <w:fldChar w:fldCharType="separate"/>
      </w:r>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_Toc256000426 \h </w:instrText>
      </w:r>
      <w:r>
        <w:fldChar w:fldCharType="separate"/>
      </w:r>
      <w:r>
        <w:t>738</w:t>
      </w:r>
      <w:r>
        <w:fldChar w:fldCharType="end"/>
      </w:r>
      <w:r>
        <w:fldChar w:fldCharType="end"/>
      </w:r>
    </w:p>
    <w:p>
      <w:pPr>
        <w:pStyle w:val="TOC3"/>
        <w:rPr>
          <w:rFonts w:ascii="Calibri" w:hAnsi="Calibri"/>
          <w:noProof/>
          <w:sz w:val="22"/>
        </w:rPr>
      </w:pPr>
      <w:r>
        <w:fldChar w:fldCharType="begin"/>
      </w:r>
      <w:r>
        <w:instrText xml:space="preserve"> HYPERLINK \l "_Toc256000427" </w:instrText>
      </w:r>
      <w:r>
        <w:fldChar w:fldCharType="separate"/>
      </w:r>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_Toc256000427 \h </w:instrText>
      </w:r>
      <w:r>
        <w:fldChar w:fldCharType="separate"/>
      </w:r>
      <w:r>
        <w:t>738</w:t>
      </w:r>
      <w:r>
        <w:fldChar w:fldCharType="end"/>
      </w:r>
      <w:r>
        <w:fldChar w:fldCharType="end"/>
      </w:r>
    </w:p>
    <w:p>
      <w:pPr>
        <w:pStyle w:val="TOC3"/>
        <w:rPr>
          <w:rFonts w:ascii="Calibri" w:hAnsi="Calibri"/>
          <w:noProof/>
          <w:sz w:val="22"/>
        </w:rPr>
      </w:pPr>
      <w:r>
        <w:fldChar w:fldCharType="begin"/>
      </w:r>
      <w:r>
        <w:instrText xml:space="preserve"> HYPERLINK \l "_Toc256000428" </w:instrText>
      </w:r>
      <w:r>
        <w:fldChar w:fldCharType="separate"/>
      </w:r>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_Toc256000428 \h </w:instrText>
      </w:r>
      <w:r>
        <w:fldChar w:fldCharType="separate"/>
      </w:r>
      <w:r>
        <w:t>741</w:t>
      </w:r>
      <w:r>
        <w:fldChar w:fldCharType="end"/>
      </w:r>
      <w:r>
        <w:fldChar w:fldCharType="end"/>
      </w:r>
    </w:p>
    <w:p>
      <w:pPr>
        <w:pStyle w:val="TOC3"/>
        <w:rPr>
          <w:rFonts w:ascii="Calibri" w:hAnsi="Calibri"/>
          <w:noProof/>
          <w:sz w:val="22"/>
        </w:rPr>
      </w:pPr>
      <w:r>
        <w:fldChar w:fldCharType="begin"/>
      </w:r>
      <w:r>
        <w:instrText xml:space="preserve"> HYPERLINK \l "_Toc256000429" </w:instrText>
      </w:r>
      <w:r>
        <w:fldChar w:fldCharType="separate"/>
      </w:r>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_Toc256000429 \h </w:instrText>
      </w:r>
      <w:r>
        <w:fldChar w:fldCharType="separate"/>
      </w:r>
      <w:r>
        <w:t>745</w:t>
      </w:r>
      <w:r>
        <w:fldChar w:fldCharType="end"/>
      </w:r>
      <w:r>
        <w:fldChar w:fldCharType="end"/>
      </w:r>
    </w:p>
    <w:p>
      <w:pPr>
        <w:pStyle w:val="TOC3"/>
        <w:rPr>
          <w:rFonts w:ascii="Calibri" w:hAnsi="Calibri"/>
          <w:noProof/>
          <w:sz w:val="22"/>
        </w:rPr>
      </w:pPr>
      <w:r>
        <w:fldChar w:fldCharType="begin"/>
      </w:r>
      <w:r>
        <w:instrText xml:space="preserve"> HYPERLINK \l "_Toc256000430" </w:instrText>
      </w:r>
      <w:r>
        <w:fldChar w:fldCharType="separate"/>
      </w:r>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_Toc256000430 \h </w:instrText>
      </w:r>
      <w:r>
        <w:fldChar w:fldCharType="separate"/>
      </w:r>
      <w:r>
        <w:t>748</w:t>
      </w:r>
      <w:r>
        <w:fldChar w:fldCharType="end"/>
      </w:r>
      <w:r>
        <w:fldChar w:fldCharType="end"/>
      </w:r>
    </w:p>
    <w:p>
      <w:pPr>
        <w:pStyle w:val="TOC3"/>
        <w:rPr>
          <w:rFonts w:ascii="Calibri" w:hAnsi="Calibri"/>
          <w:noProof/>
          <w:sz w:val="22"/>
        </w:rPr>
      </w:pPr>
      <w:r>
        <w:fldChar w:fldCharType="begin"/>
      </w:r>
      <w:r>
        <w:instrText xml:space="preserve"> HYPERLINK \l "_Toc256000431" </w:instrText>
      </w:r>
      <w:r>
        <w:fldChar w:fldCharType="separate"/>
      </w:r>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_Toc256000431 \h </w:instrText>
      </w:r>
      <w:r>
        <w:fldChar w:fldCharType="separate"/>
      </w:r>
      <w:r>
        <w:t>753</w:t>
      </w:r>
      <w:r>
        <w:fldChar w:fldCharType="end"/>
      </w:r>
      <w:r>
        <w:fldChar w:fldCharType="end"/>
      </w:r>
    </w:p>
    <w:p>
      <w:pPr>
        <w:pStyle w:val="TOC3"/>
        <w:rPr>
          <w:rFonts w:ascii="Calibri" w:hAnsi="Calibri"/>
          <w:noProof/>
          <w:sz w:val="22"/>
        </w:rPr>
      </w:pPr>
      <w:r>
        <w:fldChar w:fldCharType="begin"/>
      </w:r>
      <w:r>
        <w:instrText xml:space="preserve"> HYPERLINK \l "_Toc256000432" </w:instrText>
      </w:r>
      <w:r>
        <w:fldChar w:fldCharType="separate"/>
      </w:r>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_Toc256000432 \h </w:instrText>
      </w:r>
      <w:r>
        <w:fldChar w:fldCharType="separate"/>
      </w:r>
      <w:r>
        <w:t>759</w:t>
      </w:r>
      <w:r>
        <w:fldChar w:fldCharType="end"/>
      </w:r>
      <w:r>
        <w:fldChar w:fldCharType="end"/>
      </w:r>
    </w:p>
    <w:p>
      <w:pPr>
        <w:pStyle w:val="TOC2"/>
        <w:rPr>
          <w:rFonts w:ascii="Calibri" w:hAnsi="Calibri"/>
          <w:noProof/>
          <w:sz w:val="22"/>
        </w:rPr>
      </w:pPr>
      <w:r>
        <w:fldChar w:fldCharType="begin"/>
      </w:r>
      <w:r>
        <w:instrText xml:space="preserve"> HYPERLINK \l "_Toc256000433" </w:instrText>
      </w:r>
      <w:r>
        <w:fldChar w:fldCharType="separate"/>
      </w:r>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_Toc256000433 \h </w:instrText>
      </w:r>
      <w:r>
        <w:fldChar w:fldCharType="separate"/>
      </w:r>
      <w:r>
        <w:t>764</w:t>
      </w:r>
      <w:r>
        <w:fldChar w:fldCharType="end"/>
      </w:r>
      <w:r>
        <w:fldChar w:fldCharType="end"/>
      </w:r>
    </w:p>
    <w:p>
      <w:pPr>
        <w:pStyle w:val="TOC2"/>
        <w:rPr>
          <w:rFonts w:ascii="Calibri" w:hAnsi="Calibri"/>
          <w:noProof/>
          <w:sz w:val="22"/>
        </w:rPr>
      </w:pPr>
      <w:r>
        <w:fldChar w:fldCharType="begin"/>
      </w:r>
      <w:r>
        <w:instrText xml:space="preserve"> HYPERLINK \l "_Toc256000434" </w:instrText>
      </w:r>
      <w:r>
        <w:fldChar w:fldCharType="separate"/>
      </w:r>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_Toc256000434 \h </w:instrText>
      </w:r>
      <w:r>
        <w:fldChar w:fldCharType="separate"/>
      </w:r>
      <w:r>
        <w:t>768</w:t>
      </w:r>
      <w:r>
        <w:fldChar w:fldCharType="end"/>
      </w:r>
      <w:r>
        <w:fldChar w:fldCharType="end"/>
      </w:r>
    </w:p>
    <w:p>
      <w:pPr>
        <w:pStyle w:val="TOC2"/>
        <w:rPr>
          <w:rFonts w:ascii="Calibri" w:hAnsi="Calibri"/>
          <w:noProof/>
          <w:sz w:val="22"/>
        </w:rPr>
      </w:pPr>
      <w:r>
        <w:fldChar w:fldCharType="begin"/>
      </w:r>
      <w:r>
        <w:instrText xml:space="preserve"> HYPERLINK \l "_Toc256000435" </w:instrText>
      </w:r>
      <w:r>
        <w:fldChar w:fldCharType="separate"/>
      </w:r>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_Toc256000435 \h </w:instrText>
      </w:r>
      <w:r>
        <w:fldChar w:fldCharType="separate"/>
      </w:r>
      <w:r>
        <w:t>771</w:t>
      </w:r>
      <w:r>
        <w:fldChar w:fldCharType="end"/>
      </w:r>
      <w:r>
        <w:fldChar w:fldCharType="end"/>
      </w:r>
    </w:p>
    <w:p>
      <w:pPr>
        <w:pStyle w:val="TOC3"/>
        <w:rPr>
          <w:rFonts w:ascii="Calibri" w:hAnsi="Calibri"/>
          <w:noProof/>
          <w:sz w:val="22"/>
        </w:rPr>
      </w:pPr>
      <w:r>
        <w:fldChar w:fldCharType="begin"/>
      </w:r>
      <w:r>
        <w:instrText xml:space="preserve"> HYPERLINK \l "_Toc256000436" </w:instrText>
      </w:r>
      <w:r>
        <w:fldChar w:fldCharType="separate"/>
      </w:r>
      <w:r>
        <w:rPr>
          <w:rStyle w:val="Hyperlink"/>
        </w:rPr>
        <w:t>11.4.1.</w:t>
      </w:r>
      <w:r>
        <w:rPr>
          <w:rStyle w:val="Hyperlink"/>
        </w:rPr>
        <w:t xml:space="preserve"> </w:t>
      </w:r>
      <w:r>
        <w:rPr>
          <w:rStyle w:val="Hyperlink"/>
        </w:rPr>
        <w:t>Земеделска земя</w:t>
      </w:r>
      <w:r>
        <w:tab/>
      </w:r>
      <w:r>
        <w:fldChar w:fldCharType="begin"/>
      </w:r>
      <w:r>
        <w:instrText xml:space="preserve"> PAGEREF _Toc256000436 \h </w:instrText>
      </w:r>
      <w:r>
        <w:fldChar w:fldCharType="separate"/>
      </w:r>
      <w:r>
        <w:t>771</w:t>
      </w:r>
      <w:r>
        <w:fldChar w:fldCharType="end"/>
      </w:r>
      <w:r>
        <w:fldChar w:fldCharType="end"/>
      </w:r>
    </w:p>
    <w:p>
      <w:pPr>
        <w:pStyle w:val="TOC3"/>
        <w:rPr>
          <w:rFonts w:ascii="Calibri" w:hAnsi="Calibri"/>
          <w:noProof/>
          <w:sz w:val="22"/>
        </w:rPr>
      </w:pPr>
      <w:r>
        <w:fldChar w:fldCharType="begin"/>
      </w:r>
      <w:r>
        <w:instrText xml:space="preserve"> HYPERLINK \l "_Toc256000437" </w:instrText>
      </w:r>
      <w:r>
        <w:fldChar w:fldCharType="separate"/>
      </w:r>
      <w:r>
        <w:rPr>
          <w:rStyle w:val="Hyperlink"/>
        </w:rPr>
        <w:t>11.4.2.</w:t>
      </w:r>
      <w:r>
        <w:rPr>
          <w:rStyle w:val="Hyperlink"/>
        </w:rPr>
        <w:t xml:space="preserve"> </w:t>
      </w:r>
      <w:r>
        <w:rPr>
          <w:rStyle w:val="Hyperlink"/>
        </w:rPr>
        <w:t>Горски площи</w:t>
      </w:r>
      <w:r>
        <w:tab/>
      </w:r>
      <w:r>
        <w:fldChar w:fldCharType="begin"/>
      </w:r>
      <w:r>
        <w:instrText xml:space="preserve"> PAGEREF _Toc256000437 \h </w:instrText>
      </w:r>
      <w:r>
        <w:fldChar w:fldCharType="separate"/>
      </w:r>
      <w:r>
        <w:t>775</w:t>
      </w:r>
      <w:r>
        <w:fldChar w:fldCharType="end"/>
      </w:r>
      <w:r>
        <w:fldChar w:fldCharType="end"/>
      </w:r>
    </w:p>
    <w:p>
      <w:pPr>
        <w:pStyle w:val="TOC2"/>
        <w:rPr>
          <w:rFonts w:ascii="Calibri" w:hAnsi="Calibri"/>
          <w:noProof/>
          <w:sz w:val="22"/>
        </w:rPr>
      </w:pPr>
      <w:r>
        <w:fldChar w:fldCharType="begin"/>
      </w:r>
      <w:r>
        <w:instrText xml:space="preserve"> HYPERLINK \l "_Toc256000438" </w:instrText>
      </w:r>
      <w:r>
        <w:fldChar w:fldCharType="separate"/>
      </w:r>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_Toc256000438 \h </w:instrText>
      </w:r>
      <w:r>
        <w:fldChar w:fldCharType="separate"/>
      </w:r>
      <w:r>
        <w:t>776</w:t>
      </w:r>
      <w:r>
        <w:fldChar w:fldCharType="end"/>
      </w:r>
      <w:r>
        <w:fldChar w:fldCharType="end"/>
      </w:r>
    </w:p>
    <w:p>
      <w:pPr>
        <w:pStyle w:val="TOC1"/>
        <w:rPr>
          <w:rFonts w:ascii="Calibri" w:hAnsi="Calibri"/>
          <w:noProof/>
          <w:sz w:val="22"/>
        </w:rPr>
      </w:pPr>
      <w:r>
        <w:fldChar w:fldCharType="begin"/>
      </w:r>
      <w:r>
        <w:instrText xml:space="preserve"> HYPERLINK \l "_Toc256000439" </w:instrText>
      </w:r>
      <w:r>
        <w:fldChar w:fldCharType="separate"/>
      </w:r>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_Toc256000439 \h </w:instrText>
      </w:r>
      <w:r>
        <w:fldChar w:fldCharType="separate"/>
      </w:r>
      <w:r>
        <w:t>777</w:t>
      </w:r>
      <w:r>
        <w:fldChar w:fldCharType="end"/>
      </w:r>
      <w:r>
        <w:fldChar w:fldCharType="end"/>
      </w:r>
    </w:p>
    <w:p>
      <w:pPr>
        <w:pStyle w:val="TOC2"/>
        <w:rPr>
          <w:rFonts w:ascii="Calibri" w:hAnsi="Calibri"/>
          <w:noProof/>
          <w:sz w:val="22"/>
        </w:rPr>
      </w:pPr>
      <w:r>
        <w:fldChar w:fldCharType="begin"/>
      </w:r>
      <w:r>
        <w:instrText xml:space="preserve"> HYPERLINK \l "_Toc256000440" </w:instrText>
      </w:r>
      <w:r>
        <w:fldChar w:fldCharType="separate"/>
      </w:r>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_Toc256000440 \h </w:instrText>
      </w:r>
      <w:r>
        <w:fldChar w:fldCharType="separate"/>
      </w:r>
      <w:r>
        <w:t>777</w:t>
      </w:r>
      <w:r>
        <w:fldChar w:fldCharType="end"/>
      </w:r>
      <w:r>
        <w:fldChar w:fldCharType="end"/>
      </w:r>
    </w:p>
    <w:p>
      <w:pPr>
        <w:pStyle w:val="TOC2"/>
        <w:rPr>
          <w:rFonts w:ascii="Calibri" w:hAnsi="Calibri"/>
          <w:noProof/>
          <w:sz w:val="22"/>
        </w:rPr>
      </w:pPr>
      <w:r>
        <w:fldChar w:fldCharType="begin"/>
      </w:r>
      <w:r>
        <w:instrText xml:space="preserve"> HYPERLINK \l "_Toc256000441" </w:instrText>
      </w:r>
      <w:r>
        <w:fldChar w:fldCharType="separate"/>
      </w:r>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_Toc256000441 \h </w:instrText>
      </w:r>
      <w:r>
        <w:fldChar w:fldCharType="separate"/>
      </w:r>
      <w:r>
        <w:t>778</w:t>
      </w:r>
      <w:r>
        <w:fldChar w:fldCharType="end"/>
      </w:r>
      <w:r>
        <w:fldChar w:fldCharType="end"/>
      </w:r>
    </w:p>
    <w:p>
      <w:pPr>
        <w:pStyle w:val="TOC2"/>
        <w:rPr>
          <w:rFonts w:ascii="Calibri" w:hAnsi="Calibri"/>
          <w:noProof/>
          <w:sz w:val="22"/>
        </w:rPr>
      </w:pPr>
      <w:r>
        <w:fldChar w:fldCharType="begin"/>
      </w:r>
      <w:r>
        <w:instrText xml:space="preserve"> HYPERLINK \l "_Toc256000442" </w:instrText>
      </w:r>
      <w:r>
        <w:fldChar w:fldCharType="separate"/>
      </w:r>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_Toc256000442 \h </w:instrText>
      </w:r>
      <w:r>
        <w:fldChar w:fldCharType="separate"/>
      </w:r>
      <w:r>
        <w:t>778</w:t>
      </w:r>
      <w:r>
        <w:fldChar w:fldCharType="end"/>
      </w:r>
      <w:r>
        <w:fldChar w:fldCharType="end"/>
      </w:r>
    </w:p>
    <w:p>
      <w:pPr>
        <w:pStyle w:val="TOC2"/>
        <w:rPr>
          <w:rFonts w:ascii="Calibri" w:hAnsi="Calibri"/>
          <w:noProof/>
          <w:sz w:val="22"/>
        </w:rPr>
      </w:pPr>
      <w:r>
        <w:fldChar w:fldCharType="begin"/>
      </w:r>
      <w:r>
        <w:instrText xml:space="preserve"> HYPERLINK \l "_Toc256000443" </w:instrText>
      </w:r>
      <w:r>
        <w:fldChar w:fldCharType="separate"/>
      </w:r>
      <w:r>
        <w:rPr>
          <w:rStyle w:val="Hyperlink"/>
        </w:rPr>
        <w:t>12.4.</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_Toc256000443 \h </w:instrText>
      </w:r>
      <w:r>
        <w:fldChar w:fldCharType="separate"/>
      </w:r>
      <w:r>
        <w:t>778</w:t>
      </w:r>
      <w:r>
        <w:fldChar w:fldCharType="end"/>
      </w:r>
      <w:r>
        <w:fldChar w:fldCharType="end"/>
      </w:r>
    </w:p>
    <w:p>
      <w:pPr>
        <w:pStyle w:val="TOC2"/>
        <w:rPr>
          <w:rFonts w:ascii="Calibri" w:hAnsi="Calibri"/>
          <w:noProof/>
          <w:sz w:val="22"/>
        </w:rPr>
      </w:pPr>
      <w:r>
        <w:fldChar w:fldCharType="begin"/>
      </w:r>
      <w:r>
        <w:instrText xml:space="preserve"> HYPERLINK \l "_Toc256000444" </w:instrText>
      </w:r>
      <w:r>
        <w:fldChar w:fldCharType="separate"/>
      </w:r>
      <w:r>
        <w:rPr>
          <w:rStyle w:val="Hyperlink"/>
        </w:rPr>
        <w:t>12.5.</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_Toc256000444 \h </w:instrText>
      </w:r>
      <w:r>
        <w:fldChar w:fldCharType="separate"/>
      </w:r>
      <w:r>
        <w:t>778</w:t>
      </w:r>
      <w:r>
        <w:fldChar w:fldCharType="end"/>
      </w:r>
      <w:r>
        <w:fldChar w:fldCharType="end"/>
      </w:r>
    </w:p>
    <w:p>
      <w:pPr>
        <w:pStyle w:val="TOC2"/>
        <w:rPr>
          <w:rFonts w:ascii="Calibri" w:hAnsi="Calibri"/>
          <w:noProof/>
          <w:sz w:val="22"/>
        </w:rPr>
      </w:pPr>
      <w:r>
        <w:fldChar w:fldCharType="begin"/>
      </w:r>
      <w:r>
        <w:instrText xml:space="preserve"> HYPERLINK \l "_Toc256000445" </w:instrText>
      </w:r>
      <w:r>
        <w:fldChar w:fldCharType="separate"/>
      </w:r>
      <w:r>
        <w:rPr>
          <w:rStyle w:val="Hyperlink"/>
        </w:rPr>
        <w:t>12.6.</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_Toc256000445 \h </w:instrText>
      </w:r>
      <w:r>
        <w:fldChar w:fldCharType="separate"/>
      </w:r>
      <w:r>
        <w:t>778</w:t>
      </w:r>
      <w:r>
        <w:fldChar w:fldCharType="end"/>
      </w:r>
      <w:r>
        <w:fldChar w:fldCharType="end"/>
      </w:r>
    </w:p>
    <w:p>
      <w:pPr>
        <w:pStyle w:val="TOC2"/>
        <w:rPr>
          <w:rFonts w:ascii="Calibri" w:hAnsi="Calibri"/>
          <w:noProof/>
          <w:sz w:val="22"/>
        </w:rPr>
      </w:pPr>
      <w:r>
        <w:fldChar w:fldCharType="begin"/>
      </w:r>
      <w:r>
        <w:instrText xml:space="preserve"> HYPERLINK \l "_Toc256000446" </w:instrText>
      </w:r>
      <w:r>
        <w:fldChar w:fldCharType="separate"/>
      </w:r>
      <w:r>
        <w:rPr>
          <w:rStyle w:val="Hyperlink"/>
        </w:rPr>
        <w:t>12.7.</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_Toc256000446 \h </w:instrText>
      </w:r>
      <w:r>
        <w:fldChar w:fldCharType="separate"/>
      </w:r>
      <w:r>
        <w:t>779</w:t>
      </w:r>
      <w:r>
        <w:fldChar w:fldCharType="end"/>
      </w:r>
      <w:r>
        <w:fldChar w:fldCharType="end"/>
      </w:r>
    </w:p>
    <w:p>
      <w:pPr>
        <w:pStyle w:val="TOC2"/>
        <w:rPr>
          <w:rFonts w:ascii="Calibri" w:hAnsi="Calibri"/>
          <w:noProof/>
          <w:sz w:val="22"/>
        </w:rPr>
      </w:pPr>
      <w:r>
        <w:fldChar w:fldCharType="begin"/>
      </w:r>
      <w:r>
        <w:instrText xml:space="preserve"> HYPERLINK \l "_Toc256000447" </w:instrText>
      </w:r>
      <w:r>
        <w:fldChar w:fldCharType="separate"/>
      </w:r>
      <w:r>
        <w:rPr>
          <w:rStyle w:val="Hyperlink"/>
        </w:rPr>
        <w:t>12.8.</w:t>
      </w:r>
      <w:r>
        <w:rPr>
          <w:rStyle w:val="Hyperlink"/>
        </w:rPr>
        <w:t xml:space="preserve"> </w:t>
      </w:r>
      <w:r>
        <w:rPr>
          <w:rStyle w:val="Hyperlink"/>
        </w:rPr>
        <w:t>M10 — Агроекология и климат (член 28)</w:t>
      </w:r>
      <w:r>
        <w:tab/>
      </w:r>
      <w:r>
        <w:fldChar w:fldCharType="begin"/>
      </w:r>
      <w:r>
        <w:instrText xml:space="preserve"> PAGEREF _Toc256000447 \h </w:instrText>
      </w:r>
      <w:r>
        <w:fldChar w:fldCharType="separate"/>
      </w:r>
      <w:r>
        <w:t>779</w:t>
      </w:r>
      <w:r>
        <w:fldChar w:fldCharType="end"/>
      </w:r>
      <w:r>
        <w:fldChar w:fldCharType="end"/>
      </w:r>
    </w:p>
    <w:p>
      <w:pPr>
        <w:pStyle w:val="TOC2"/>
        <w:rPr>
          <w:rFonts w:ascii="Calibri" w:hAnsi="Calibri"/>
          <w:noProof/>
          <w:sz w:val="22"/>
        </w:rPr>
      </w:pPr>
      <w:r>
        <w:fldChar w:fldCharType="begin"/>
      </w:r>
      <w:r>
        <w:instrText xml:space="preserve"> HYPERLINK \l "_Toc256000448" </w:instrText>
      </w:r>
      <w:r>
        <w:fldChar w:fldCharType="separate"/>
      </w:r>
      <w:r>
        <w:rPr>
          <w:rStyle w:val="Hyperlink"/>
        </w:rPr>
        <w:t>12.9.</w:t>
      </w:r>
      <w:r>
        <w:rPr>
          <w:rStyle w:val="Hyperlink"/>
        </w:rPr>
        <w:t xml:space="preserve"> </w:t>
      </w:r>
      <w:r>
        <w:rPr>
          <w:rStyle w:val="Hyperlink"/>
        </w:rPr>
        <w:t>М11 — Биологично земеделие (член 29)</w:t>
      </w:r>
      <w:r>
        <w:tab/>
      </w:r>
      <w:r>
        <w:fldChar w:fldCharType="begin"/>
      </w:r>
      <w:r>
        <w:instrText xml:space="preserve"> PAGEREF _Toc256000448 \h </w:instrText>
      </w:r>
      <w:r>
        <w:fldChar w:fldCharType="separate"/>
      </w:r>
      <w:r>
        <w:t>779</w:t>
      </w:r>
      <w:r>
        <w:fldChar w:fldCharType="end"/>
      </w:r>
      <w:r>
        <w:fldChar w:fldCharType="end"/>
      </w:r>
    </w:p>
    <w:p>
      <w:pPr>
        <w:pStyle w:val="TOC2"/>
        <w:rPr>
          <w:rFonts w:ascii="Calibri" w:hAnsi="Calibri"/>
          <w:noProof/>
          <w:sz w:val="22"/>
        </w:rPr>
      </w:pPr>
      <w:r>
        <w:fldChar w:fldCharType="begin"/>
      </w:r>
      <w:r>
        <w:instrText xml:space="preserve"> HYPERLINK \l "_Toc256000449" </w:instrText>
      </w:r>
      <w:r>
        <w:fldChar w:fldCharType="separate"/>
      </w:r>
      <w:r>
        <w:rPr>
          <w:rStyle w:val="Hyperlink"/>
        </w:rPr>
        <w:t>12.10.</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_Toc256000449 \h </w:instrText>
      </w:r>
      <w:r>
        <w:fldChar w:fldCharType="separate"/>
      </w:r>
      <w:r>
        <w:t>779</w:t>
      </w:r>
      <w:r>
        <w:fldChar w:fldCharType="end"/>
      </w:r>
      <w:r>
        <w:fldChar w:fldCharType="end"/>
      </w:r>
    </w:p>
    <w:p>
      <w:pPr>
        <w:pStyle w:val="TOC2"/>
        <w:rPr>
          <w:rFonts w:ascii="Calibri" w:hAnsi="Calibri"/>
          <w:noProof/>
          <w:sz w:val="22"/>
        </w:rPr>
      </w:pPr>
      <w:r>
        <w:fldChar w:fldCharType="begin"/>
      </w:r>
      <w:r>
        <w:instrText xml:space="preserve"> HYPERLINK \l "_Toc256000450" </w:instrText>
      </w:r>
      <w:r>
        <w:fldChar w:fldCharType="separate"/>
      </w:r>
      <w:r>
        <w:rPr>
          <w:rStyle w:val="Hyperlink"/>
        </w:rPr>
        <w:t>12.11.</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_Toc256000450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"_Toc256000451" </w:instrText>
      </w:r>
      <w:r>
        <w:fldChar w:fldCharType="separate"/>
      </w:r>
      <w:r>
        <w:rPr>
          <w:rStyle w:val="Hyperlink"/>
        </w:rPr>
        <w:t>12.12.</w:t>
      </w:r>
      <w:r>
        <w:rPr>
          <w:rStyle w:val="Hyperlink"/>
        </w:rPr>
        <w:t xml:space="preserve"> </w:t>
      </w:r>
      <w:r>
        <w:rPr>
          <w:rStyle w:val="Hyperlink"/>
        </w:rPr>
        <w:t>M14 — Хуманно отношение към животните (член 33)</w:t>
      </w:r>
      <w:r>
        <w:tab/>
      </w:r>
      <w:r>
        <w:fldChar w:fldCharType="begin"/>
      </w:r>
      <w:r>
        <w:instrText xml:space="preserve"> PAGEREF _Toc256000451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"_Toc256000452" </w:instrText>
      </w:r>
      <w:r>
        <w:fldChar w:fldCharType="separate"/>
      </w:r>
      <w:r>
        <w:rPr>
          <w:rStyle w:val="Hyperlink"/>
        </w:rPr>
        <w:t>12.13.</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_Toc256000452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"_Toc256000453" </w:instrText>
      </w:r>
      <w:r>
        <w:fldChar w:fldCharType="separate"/>
      </w:r>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_Toc256000453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"_Toc256000454" </w:instrText>
      </w:r>
      <w:r>
        <w:fldChar w:fldCharType="separate"/>
      </w:r>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_Toc256000454 \h </w:instrText>
      </w:r>
      <w:r>
        <w:fldChar w:fldCharType="separate"/>
      </w:r>
      <w:r>
        <w:t>780</w:t>
      </w:r>
      <w:r>
        <w:fldChar w:fldCharType="end"/>
      </w:r>
      <w:r>
        <w:fldChar w:fldCharType="end"/>
      </w:r>
    </w:p>
    <w:p>
      <w:pPr>
        <w:pStyle w:val="TOC2"/>
        <w:rPr>
          <w:rFonts w:ascii="Calibri" w:hAnsi="Calibri"/>
          <w:noProof/>
          <w:sz w:val="22"/>
        </w:rPr>
      </w:pPr>
      <w:r>
        <w:fldChar w:fldCharType="begin"/>
      </w:r>
      <w:r>
        <w:instrText xml:space="preserve"> HYPERLINK \l "_Toc256000455" </w:instrText>
      </w:r>
      <w:r>
        <w:fldChar w:fldCharType="separate"/>
      </w:r>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_Toc256000455 \h </w:instrText>
      </w:r>
      <w:r>
        <w:fldChar w:fldCharType="separate"/>
      </w:r>
      <w:r>
        <w:t>781</w:t>
      </w:r>
      <w:r>
        <w:fldChar w:fldCharType="end"/>
      </w:r>
      <w:r>
        <w:fldChar w:fldCharType="end"/>
      </w:r>
    </w:p>
    <w:p>
      <w:pPr>
        <w:pStyle w:val="TOC1"/>
        <w:rPr>
          <w:rFonts w:ascii="Calibri" w:hAnsi="Calibri"/>
          <w:noProof/>
          <w:sz w:val="22"/>
        </w:rPr>
      </w:pPr>
      <w:r>
        <w:fldChar w:fldCharType="begin"/>
      </w:r>
      <w:r>
        <w:instrText xml:space="preserve"> HYPERLINK \l "_Toc256000456" </w:instrText>
      </w:r>
      <w:r>
        <w:fldChar w:fldCharType="separate"/>
      </w:r>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_Toc256000456 \h </w:instrText>
      </w:r>
      <w:r>
        <w:fldChar w:fldCharType="separate"/>
      </w:r>
      <w:r>
        <w:t>782</w:t>
      </w:r>
      <w:r>
        <w:fldChar w:fldCharType="end"/>
      </w:r>
      <w:r>
        <w:fldChar w:fldCharType="end"/>
      </w:r>
    </w:p>
    <w:p>
      <w:pPr>
        <w:pStyle w:val="TOC2"/>
        <w:rPr>
          <w:rFonts w:ascii="Calibri" w:hAnsi="Calibri"/>
          <w:noProof/>
          <w:sz w:val="22"/>
        </w:rPr>
      </w:pPr>
      <w:r>
        <w:fldChar w:fldCharType="begin"/>
      </w:r>
      <w:r>
        <w:instrText xml:space="preserve"> HYPERLINK \l "_Toc256000457" </w:instrText>
      </w:r>
      <w:r>
        <w:fldChar w:fldCharType="separate"/>
      </w:r>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_Toc256000457 \h </w:instrText>
      </w:r>
      <w:r>
        <w:fldChar w:fldCharType="separate"/>
      </w:r>
      <w:r>
        <w:t>785</w:t>
      </w:r>
      <w:r>
        <w:fldChar w:fldCharType="end"/>
      </w:r>
      <w:r>
        <w:fldChar w:fldCharType="end"/>
      </w:r>
    </w:p>
    <w:p>
      <w:pPr>
        <w:pStyle w:val="TOC2"/>
        <w:rPr>
          <w:rFonts w:ascii="Calibri" w:hAnsi="Calibri"/>
          <w:noProof/>
          <w:sz w:val="22"/>
        </w:rPr>
      </w:pPr>
      <w:r>
        <w:fldChar w:fldCharType="begin"/>
      </w:r>
      <w:r>
        <w:instrText xml:space="preserve"> HYPERLINK \l "_Toc256000458" </w:instrText>
      </w:r>
      <w:r>
        <w:fldChar w:fldCharType="separate"/>
      </w:r>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_Toc256000458 \h </w:instrText>
      </w:r>
      <w:r>
        <w:fldChar w:fldCharType="separate"/>
      </w:r>
      <w:r>
        <w:t>785</w:t>
      </w:r>
      <w:r>
        <w:fldChar w:fldCharType="end"/>
      </w:r>
      <w:r>
        <w:fldChar w:fldCharType="end"/>
      </w:r>
    </w:p>
    <w:p>
      <w:pPr>
        <w:pStyle w:val="TOC2"/>
        <w:rPr>
          <w:rFonts w:ascii="Calibri" w:hAnsi="Calibri"/>
          <w:noProof/>
          <w:sz w:val="22"/>
        </w:rPr>
      </w:pPr>
      <w:r>
        <w:fldChar w:fldCharType="begin"/>
      </w:r>
      <w:r>
        <w:instrText xml:space="preserve"> HYPERLINK \l "_Toc256000459" </w:instrText>
      </w:r>
      <w:r>
        <w:fldChar w:fldCharType="separate"/>
      </w:r>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_Toc256000459 \h </w:instrText>
      </w:r>
      <w:r>
        <w:fldChar w:fldCharType="separate"/>
      </w:r>
      <w:r>
        <w:t>786</w:t>
      </w:r>
      <w:r>
        <w:fldChar w:fldCharType="end"/>
      </w:r>
      <w:r>
        <w:fldChar w:fldCharType="end"/>
      </w:r>
    </w:p>
    <w:p>
      <w:pPr>
        <w:pStyle w:val="TOC2"/>
        <w:rPr>
          <w:rFonts w:ascii="Calibri" w:hAnsi="Calibri"/>
          <w:noProof/>
          <w:sz w:val="22"/>
        </w:rPr>
      </w:pPr>
      <w:r>
        <w:fldChar w:fldCharType="begin"/>
      </w:r>
      <w:r>
        <w:instrText xml:space="preserve"> HYPERLINK \l "_Toc256000460" </w:instrText>
      </w:r>
      <w:r>
        <w:fldChar w:fldCharType="separate"/>
      </w:r>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_Toc256000460 \h </w:instrText>
      </w:r>
      <w:r>
        <w:fldChar w:fldCharType="separate"/>
      </w:r>
      <w:r>
        <w:t>786</w:t>
      </w:r>
      <w:r>
        <w:fldChar w:fldCharType="end"/>
      </w:r>
      <w:r>
        <w:fldChar w:fldCharType="end"/>
      </w:r>
    </w:p>
    <w:p>
      <w:pPr>
        <w:pStyle w:val="TOC2"/>
        <w:rPr>
          <w:rFonts w:ascii="Calibri" w:hAnsi="Calibri"/>
          <w:noProof/>
          <w:sz w:val="22"/>
        </w:rPr>
      </w:pPr>
      <w:r>
        <w:fldChar w:fldCharType="begin"/>
      </w:r>
      <w:r>
        <w:instrText xml:space="preserve"> HYPERLINK \l "_Toc256000461" </w:instrText>
      </w:r>
      <w:r>
        <w:fldChar w:fldCharType="separate"/>
      </w:r>
      <w:r>
        <w:rPr>
          <w:rStyle w:val="Hyperlink"/>
        </w:rPr>
        <w:t>13.5.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_Toc256000461 \h </w:instrText>
      </w:r>
      <w:r>
        <w:fldChar w:fldCharType="separate"/>
      </w:r>
      <w:r>
        <w:t>787</w:t>
      </w:r>
      <w:r>
        <w:fldChar w:fldCharType="end"/>
      </w:r>
      <w:r>
        <w:fldChar w:fldCharType="end"/>
      </w:r>
    </w:p>
    <w:p>
      <w:pPr>
        <w:pStyle w:val="TOC2"/>
        <w:rPr>
          <w:rFonts w:ascii="Calibri" w:hAnsi="Calibri"/>
          <w:noProof/>
          <w:sz w:val="22"/>
        </w:rPr>
      </w:pPr>
      <w:r>
        <w:fldChar w:fldCharType="begin"/>
      </w:r>
      <w:r>
        <w:instrText xml:space="preserve"> HYPERLINK \l "_Toc256000462" </w:instrText>
      </w:r>
      <w:r>
        <w:fldChar w:fldCharType="separate"/>
      </w:r>
      <w:r>
        <w:rPr>
          <w:rStyle w:val="Hyperlink"/>
        </w:rPr>
        <w:t>13.6.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_Toc256000462 \h </w:instrText>
      </w:r>
      <w:r>
        <w:fldChar w:fldCharType="separate"/>
      </w:r>
      <w:r>
        <w:t>787</w:t>
      </w:r>
      <w:r>
        <w:fldChar w:fldCharType="end"/>
      </w:r>
      <w:r>
        <w:fldChar w:fldCharType="end"/>
      </w:r>
    </w:p>
    <w:p>
      <w:pPr>
        <w:pStyle w:val="TOC2"/>
        <w:rPr>
          <w:rFonts w:ascii="Calibri" w:hAnsi="Calibri"/>
          <w:noProof/>
          <w:sz w:val="22"/>
        </w:rPr>
      </w:pPr>
      <w:r>
        <w:fldChar w:fldCharType="begin"/>
      </w:r>
      <w:r>
        <w:instrText xml:space="preserve"> HYPERLINK \l "_Toc256000463" </w:instrText>
      </w:r>
      <w:r>
        <w:fldChar w:fldCharType="separate"/>
      </w:r>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_Toc256000463 \h </w:instrText>
      </w:r>
      <w:r>
        <w:fldChar w:fldCharType="separate"/>
      </w:r>
      <w:r>
        <w:t>788</w:t>
      </w:r>
      <w:r>
        <w:fldChar w:fldCharType="end"/>
      </w:r>
      <w:r>
        <w:fldChar w:fldCharType="end"/>
      </w:r>
    </w:p>
    <w:p>
      <w:pPr>
        <w:pStyle w:val="TOC2"/>
        <w:rPr>
          <w:rFonts w:ascii="Calibri" w:hAnsi="Calibri"/>
          <w:noProof/>
          <w:sz w:val="22"/>
        </w:rPr>
      </w:pPr>
      <w:r>
        <w:fldChar w:fldCharType="begin"/>
      </w:r>
      <w:r>
        <w:instrText xml:space="preserve"> HYPERLINK \l "_Toc256000464" </w:instrText>
      </w:r>
      <w:r>
        <w:fldChar w:fldCharType="separate"/>
      </w:r>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_Toc256000464 \h </w:instrText>
      </w:r>
      <w:r>
        <w:fldChar w:fldCharType="separate"/>
      </w:r>
      <w:r>
        <w:t>788</w:t>
      </w:r>
      <w:r>
        <w:fldChar w:fldCharType="end"/>
      </w:r>
      <w:r>
        <w:fldChar w:fldCharType="end"/>
      </w:r>
    </w:p>
    <w:p>
      <w:pPr>
        <w:pStyle w:val="TOC2"/>
        <w:rPr>
          <w:rFonts w:ascii="Calibri" w:hAnsi="Calibri"/>
          <w:noProof/>
          <w:sz w:val="22"/>
        </w:rPr>
      </w:pPr>
      <w:r>
        <w:fldChar w:fldCharType="begin"/>
      </w:r>
      <w:r>
        <w:instrText xml:space="preserve"> HYPERLINK \l "_Toc256000465" </w:instrText>
      </w:r>
      <w:r>
        <w:fldChar w:fldCharType="separate"/>
      </w:r>
      <w:r>
        <w:rPr>
          <w:rStyle w:val="Hyperlink"/>
        </w:rPr>
        <w:t>13.9.</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_Toc256000465 \h </w:instrText>
      </w:r>
      <w:r>
        <w:fldChar w:fldCharType="separate"/>
      </w:r>
      <w:r>
        <w:t>789</w:t>
      </w:r>
      <w:r>
        <w:fldChar w:fldCharType="end"/>
      </w:r>
      <w:r>
        <w:fldChar w:fldCharType="end"/>
      </w:r>
    </w:p>
    <w:p>
      <w:pPr>
        <w:pStyle w:val="TOC2"/>
        <w:rPr>
          <w:rFonts w:ascii="Calibri" w:hAnsi="Calibri"/>
          <w:noProof/>
          <w:sz w:val="22"/>
        </w:rPr>
      </w:pPr>
      <w:r>
        <w:fldChar w:fldCharType="begin"/>
      </w:r>
      <w:r>
        <w:instrText xml:space="preserve"> HYPERLINK \l "_Toc256000466" </w:instrText>
      </w:r>
      <w:r>
        <w:fldChar w:fldCharType="separate"/>
      </w:r>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_Toc256000466 \h </w:instrText>
      </w:r>
      <w:r>
        <w:fldChar w:fldCharType="separate"/>
      </w:r>
      <w:r>
        <w:t>789</w:t>
      </w:r>
      <w:r>
        <w:fldChar w:fldCharType="end"/>
      </w:r>
      <w:r>
        <w:fldChar w:fldCharType="end"/>
      </w:r>
    </w:p>
    <w:p>
      <w:pPr>
        <w:pStyle w:val="TOC2"/>
        <w:rPr>
          <w:rFonts w:ascii="Calibri" w:hAnsi="Calibri"/>
          <w:noProof/>
          <w:sz w:val="22"/>
        </w:rPr>
      </w:pPr>
      <w:r>
        <w:fldChar w:fldCharType="begin"/>
      </w:r>
      <w:r>
        <w:instrText xml:space="preserve"> HYPERLINK \l "_Toc256000467" </w:instrText>
      </w:r>
      <w:r>
        <w:fldChar w:fldCharType="separate"/>
      </w:r>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_Toc256000467 \h </w:instrText>
      </w:r>
      <w:r>
        <w:fldChar w:fldCharType="separate"/>
      </w:r>
      <w:r>
        <w:t>790</w:t>
      </w:r>
      <w:r>
        <w:fldChar w:fldCharType="end"/>
      </w:r>
      <w:r>
        <w:fldChar w:fldCharType="end"/>
      </w:r>
    </w:p>
    <w:p>
      <w:pPr>
        <w:pStyle w:val="TOC2"/>
        <w:rPr>
          <w:rFonts w:ascii="Calibri" w:hAnsi="Calibri"/>
          <w:noProof/>
          <w:sz w:val="22"/>
        </w:rPr>
      </w:pPr>
      <w:r>
        <w:fldChar w:fldCharType="begin"/>
      </w:r>
      <w:r>
        <w:instrText xml:space="preserve"> HYPERLINK \l "_Toc256000468" </w:instrText>
      </w:r>
      <w:r>
        <w:fldChar w:fldCharType="separate"/>
      </w:r>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_Toc256000468 \h </w:instrText>
      </w:r>
      <w:r>
        <w:fldChar w:fldCharType="separate"/>
      </w:r>
      <w:r>
        <w:t>790</w:t>
      </w:r>
      <w:r>
        <w:fldChar w:fldCharType="end"/>
      </w:r>
      <w:r>
        <w:fldChar w:fldCharType="end"/>
      </w:r>
    </w:p>
    <w:p>
      <w:pPr>
        <w:pStyle w:val="TOC2"/>
        <w:rPr>
          <w:rFonts w:ascii="Calibri" w:hAnsi="Calibri"/>
          <w:noProof/>
          <w:sz w:val="22"/>
        </w:rPr>
      </w:pPr>
      <w:r>
        <w:fldChar w:fldCharType="begin"/>
      </w:r>
      <w:r>
        <w:instrText xml:space="preserve"> HYPERLINK \l "_Toc256000469" </w:instrText>
      </w:r>
      <w:r>
        <w:fldChar w:fldCharType="separate"/>
      </w:r>
      <w:r>
        <w:rPr>
          <w:rStyle w:val="Hyperlink"/>
        </w:rPr>
        <w:t>13.13.</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_Toc256000469 \h </w:instrText>
      </w:r>
      <w:r>
        <w:fldChar w:fldCharType="separate"/>
      </w:r>
      <w:r>
        <w:t>791</w:t>
      </w:r>
      <w:r>
        <w:fldChar w:fldCharType="end"/>
      </w:r>
      <w:r>
        <w:fldChar w:fldCharType="end"/>
      </w:r>
    </w:p>
    <w:p>
      <w:pPr>
        <w:pStyle w:val="TOC2"/>
        <w:rPr>
          <w:rFonts w:ascii="Calibri" w:hAnsi="Calibri"/>
          <w:noProof/>
          <w:sz w:val="22"/>
        </w:rPr>
      </w:pPr>
      <w:r>
        <w:fldChar w:fldCharType="begin"/>
      </w:r>
      <w:r>
        <w:instrText xml:space="preserve"> HYPERLINK \l "_Toc256000470" </w:instrText>
      </w:r>
      <w:r>
        <w:fldChar w:fldCharType="separate"/>
      </w:r>
      <w:r>
        <w:rPr>
          <w:rStyle w:val="Hyperlink"/>
        </w:rPr>
        <w:t>13.14.</w:t>
      </w:r>
      <w:r>
        <w:rPr>
          <w:rStyle w:val="Hyperlink"/>
        </w:rPr>
        <w:t xml:space="preserve"> </w:t>
      </w:r>
      <w:r>
        <w:rPr>
          <w:rStyle w:val="Hyperlink"/>
        </w:rPr>
        <w:t>M10 — Агроекология и климат (член 28)</w:t>
      </w:r>
      <w:r>
        <w:tab/>
      </w:r>
      <w:r>
        <w:fldChar w:fldCharType="begin"/>
      </w:r>
      <w:r>
        <w:instrText xml:space="preserve"> PAGEREF _Toc256000470 \h </w:instrText>
      </w:r>
      <w:r>
        <w:fldChar w:fldCharType="separate"/>
      </w:r>
      <w:r>
        <w:t>791</w:t>
      </w:r>
      <w:r>
        <w:fldChar w:fldCharType="end"/>
      </w:r>
      <w:r>
        <w:fldChar w:fldCharType="end"/>
      </w:r>
    </w:p>
    <w:p>
      <w:pPr>
        <w:pStyle w:val="TOC2"/>
        <w:rPr>
          <w:rFonts w:ascii="Calibri" w:hAnsi="Calibri"/>
          <w:noProof/>
          <w:sz w:val="22"/>
        </w:rPr>
      </w:pPr>
      <w:r>
        <w:fldChar w:fldCharType="begin"/>
      </w:r>
      <w:r>
        <w:instrText xml:space="preserve"> HYPERLINK \l "_Toc256000471" </w:instrText>
      </w:r>
      <w:r>
        <w:fldChar w:fldCharType="separate"/>
      </w:r>
      <w:r>
        <w:rPr>
          <w:rStyle w:val="Hyperlink"/>
        </w:rPr>
        <w:t>13.15.</w:t>
      </w:r>
      <w:r>
        <w:rPr>
          <w:rStyle w:val="Hyperlink"/>
        </w:rPr>
        <w:t xml:space="preserve"> </w:t>
      </w:r>
      <w:r>
        <w:rPr>
          <w:rStyle w:val="Hyperlink"/>
        </w:rPr>
        <w:t>М11 — Биологично земеделие (член 29)</w:t>
      </w:r>
      <w:r>
        <w:tab/>
      </w:r>
      <w:r>
        <w:fldChar w:fldCharType="begin"/>
      </w:r>
      <w:r>
        <w:instrText xml:space="preserve"> PAGEREF _Toc256000471 \h </w:instrText>
      </w:r>
      <w:r>
        <w:fldChar w:fldCharType="separate"/>
      </w:r>
      <w:r>
        <w:t>792</w:t>
      </w:r>
      <w:r>
        <w:fldChar w:fldCharType="end"/>
      </w:r>
      <w:r>
        <w:fldChar w:fldCharType="end"/>
      </w:r>
    </w:p>
    <w:p>
      <w:pPr>
        <w:pStyle w:val="TOC2"/>
        <w:rPr>
          <w:rFonts w:ascii="Calibri" w:hAnsi="Calibri"/>
          <w:noProof/>
          <w:sz w:val="22"/>
        </w:rPr>
      </w:pPr>
      <w:r>
        <w:fldChar w:fldCharType="begin"/>
      </w:r>
      <w:r>
        <w:instrText xml:space="preserve"> HYPERLINK \l "_Toc256000472" </w:instrText>
      </w:r>
      <w:r>
        <w:fldChar w:fldCharType="separate"/>
      </w:r>
      <w:r>
        <w:rPr>
          <w:rStyle w:val="Hyperlink"/>
        </w:rPr>
        <w:t>13.16.</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_Toc256000472 \h </w:instrText>
      </w:r>
      <w:r>
        <w:fldChar w:fldCharType="separate"/>
      </w:r>
      <w:r>
        <w:t>792</w:t>
      </w:r>
      <w:r>
        <w:fldChar w:fldCharType="end"/>
      </w:r>
      <w:r>
        <w:fldChar w:fldCharType="end"/>
      </w:r>
    </w:p>
    <w:p>
      <w:pPr>
        <w:pStyle w:val="TOC2"/>
        <w:rPr>
          <w:rFonts w:ascii="Calibri" w:hAnsi="Calibri"/>
          <w:noProof/>
          <w:sz w:val="22"/>
        </w:rPr>
      </w:pPr>
      <w:r>
        <w:fldChar w:fldCharType="begin"/>
      </w:r>
      <w:r>
        <w:instrText xml:space="preserve"> HYPERLINK \l "_Toc256000473" </w:instrText>
      </w:r>
      <w:r>
        <w:fldChar w:fldCharType="separate"/>
      </w:r>
      <w:r>
        <w:rPr>
          <w:rStyle w:val="Hyperlink"/>
        </w:rPr>
        <w:t>13.17.</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_Toc256000473 \h </w:instrText>
      </w:r>
      <w:r>
        <w:fldChar w:fldCharType="separate"/>
      </w:r>
      <w:r>
        <w:t>793</w:t>
      </w:r>
      <w:r>
        <w:fldChar w:fldCharType="end"/>
      </w:r>
      <w:r>
        <w:fldChar w:fldCharType="end"/>
      </w:r>
    </w:p>
    <w:p>
      <w:pPr>
        <w:pStyle w:val="TOC2"/>
        <w:rPr>
          <w:rFonts w:ascii="Calibri" w:hAnsi="Calibri"/>
          <w:noProof/>
          <w:sz w:val="22"/>
        </w:rPr>
      </w:pPr>
      <w:r>
        <w:fldChar w:fldCharType="begin"/>
      </w:r>
      <w:r>
        <w:instrText xml:space="preserve"> HYPERLINK \l "_Toc256000474" </w:instrText>
      </w:r>
      <w:r>
        <w:fldChar w:fldCharType="separate"/>
      </w:r>
      <w:r>
        <w:rPr>
          <w:rStyle w:val="Hyperlink"/>
        </w:rPr>
        <w:t>13.18.</w:t>
      </w:r>
      <w:r>
        <w:rPr>
          <w:rStyle w:val="Hyperlink"/>
        </w:rPr>
        <w:t xml:space="preserve"> </w:t>
      </w:r>
      <w:r>
        <w:rPr>
          <w:rStyle w:val="Hyperlink"/>
        </w:rPr>
        <w:t>M14 — Хуманно отношение към животните (член 33)</w:t>
      </w:r>
      <w:r>
        <w:tab/>
      </w:r>
      <w:r>
        <w:fldChar w:fldCharType="begin"/>
      </w:r>
      <w:r>
        <w:instrText xml:space="preserve"> PAGEREF _Toc256000474 \h </w:instrText>
      </w:r>
      <w:r>
        <w:fldChar w:fldCharType="separate"/>
      </w:r>
      <w:r>
        <w:t>793</w:t>
      </w:r>
      <w:r>
        <w:fldChar w:fldCharType="end"/>
      </w:r>
      <w:r>
        <w:fldChar w:fldCharType="end"/>
      </w:r>
    </w:p>
    <w:p>
      <w:pPr>
        <w:pStyle w:val="TOC2"/>
        <w:rPr>
          <w:rFonts w:ascii="Calibri" w:hAnsi="Calibri"/>
          <w:noProof/>
          <w:sz w:val="22"/>
        </w:rPr>
      </w:pPr>
      <w:r>
        <w:fldChar w:fldCharType="begin"/>
      </w:r>
      <w:r>
        <w:instrText xml:space="preserve"> HYPERLINK \l "_Toc256000475" </w:instrText>
      </w:r>
      <w:r>
        <w:fldChar w:fldCharType="separate"/>
      </w:r>
      <w:r>
        <w:rPr>
          <w:rStyle w:val="Hyperlink"/>
        </w:rPr>
        <w:t>13.19.</w:t>
      </w:r>
      <w:r>
        <w:rPr>
          <w:rStyle w:val="Hyperlink"/>
        </w:rPr>
        <w:t xml:space="preserve"> </w:t>
      </w:r>
      <w:r>
        <w:rPr>
          <w:rStyle w:val="Hyperlink"/>
        </w:rPr>
        <w:t>М15 — Екологични услуги и услуги във връзка с климата в горското стопанство и опазване на горите (член 34)</w:t>
      </w:r>
      <w:r>
        <w:tab/>
      </w:r>
      <w:r>
        <w:fldChar w:fldCharType="begin"/>
      </w:r>
      <w:r>
        <w:instrText xml:space="preserve"> PAGEREF _Toc256000475 \h </w:instrText>
      </w:r>
      <w:r>
        <w:fldChar w:fldCharType="separate"/>
      </w:r>
      <w:r>
        <w:t>793</w:t>
      </w:r>
      <w:r>
        <w:fldChar w:fldCharType="end"/>
      </w:r>
      <w:r>
        <w:fldChar w:fldCharType="end"/>
      </w:r>
    </w:p>
    <w:p>
      <w:pPr>
        <w:pStyle w:val="TOC2"/>
        <w:rPr>
          <w:rFonts w:ascii="Calibri" w:hAnsi="Calibri"/>
          <w:noProof/>
          <w:sz w:val="22"/>
        </w:rPr>
      </w:pPr>
      <w:r>
        <w:fldChar w:fldCharType="begin"/>
      </w:r>
      <w:r>
        <w:instrText xml:space="preserve"> HYPERLINK \l "_Toc256000476" </w:instrText>
      </w:r>
      <w:r>
        <w:fldChar w:fldCharType="separate"/>
      </w:r>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_Toc256000476 \h </w:instrText>
      </w:r>
      <w:r>
        <w:fldChar w:fldCharType="separate"/>
      </w:r>
      <w:r>
        <w:t>794</w:t>
      </w:r>
      <w:r>
        <w:fldChar w:fldCharType="end"/>
      </w:r>
      <w:r>
        <w:fldChar w:fldCharType="end"/>
      </w:r>
    </w:p>
    <w:p>
      <w:pPr>
        <w:pStyle w:val="TOC2"/>
        <w:rPr>
          <w:rFonts w:ascii="Calibri" w:hAnsi="Calibri"/>
          <w:noProof/>
          <w:sz w:val="22"/>
        </w:rPr>
      </w:pPr>
      <w:r>
        <w:fldChar w:fldCharType="begin"/>
      </w:r>
      <w:r>
        <w:instrText xml:space="preserve"> HYPERLINK \l "_Toc256000477" </w:instrText>
      </w:r>
      <w:r>
        <w:fldChar w:fldCharType="separate"/>
      </w:r>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_Toc256000477 \h </w:instrText>
      </w:r>
      <w:r>
        <w:fldChar w:fldCharType="separate"/>
      </w:r>
      <w:r>
        <w:t>794</w:t>
      </w:r>
      <w:r>
        <w:fldChar w:fldCharType="end"/>
      </w:r>
      <w:r>
        <w:fldChar w:fldCharType="end"/>
      </w:r>
    </w:p>
    <w:p>
      <w:pPr>
        <w:pStyle w:val="TOC2"/>
        <w:rPr>
          <w:rFonts w:ascii="Calibri" w:hAnsi="Calibri"/>
          <w:noProof/>
          <w:sz w:val="22"/>
        </w:rPr>
      </w:pPr>
      <w:r>
        <w:fldChar w:fldCharType="begin"/>
      </w:r>
      <w:r>
        <w:instrText xml:space="preserve"> HYPERLINK \l "_Toc256000478" </w:instrText>
      </w:r>
      <w:r>
        <w:fldChar w:fldCharType="separate"/>
      </w:r>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_Toc256000478 \h </w:instrText>
      </w:r>
      <w:r>
        <w:fldChar w:fldCharType="separate"/>
      </w:r>
      <w:r>
        <w:t>795</w:t>
      </w:r>
      <w:r>
        <w:fldChar w:fldCharType="end"/>
      </w:r>
      <w:r>
        <w:fldChar w:fldCharType="end"/>
      </w:r>
    </w:p>
    <w:p>
      <w:pPr>
        <w:pStyle w:val="TOC1"/>
        <w:rPr>
          <w:rFonts w:ascii="Calibri" w:hAnsi="Calibri"/>
          <w:noProof/>
          <w:sz w:val="22"/>
        </w:rPr>
      </w:pPr>
      <w:r>
        <w:fldChar w:fldCharType="begin"/>
      </w:r>
      <w:r>
        <w:instrText xml:space="preserve"> HYPERLINK \l "_Toc256000479" </w:instrText>
      </w:r>
      <w:r>
        <w:fldChar w:fldCharType="separate"/>
      </w:r>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_Toc256000479 \h </w:instrText>
      </w:r>
      <w:r>
        <w:fldChar w:fldCharType="separate"/>
      </w:r>
      <w:r>
        <w:t>797</w:t>
      </w:r>
      <w:r>
        <w:fldChar w:fldCharType="end"/>
      </w:r>
      <w:r>
        <w:fldChar w:fldCharType="end"/>
      </w:r>
    </w:p>
    <w:p>
      <w:pPr>
        <w:pStyle w:val="TOC2"/>
        <w:rPr>
          <w:rFonts w:ascii="Calibri" w:hAnsi="Calibri"/>
          <w:noProof/>
          <w:sz w:val="22"/>
        </w:rPr>
      </w:pPr>
      <w:r>
        <w:fldChar w:fldCharType="begin"/>
      </w:r>
      <w:r>
        <w:instrText xml:space="preserve"> HYPERLINK \l "_Toc256000480" </w:instrText>
      </w:r>
      <w:r>
        <w:fldChar w:fldCharType="separate"/>
      </w:r>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_Toc256000480 \h </w:instrText>
      </w:r>
      <w:r>
        <w:fldChar w:fldCharType="separate"/>
      </w:r>
      <w:r>
        <w:t>797</w:t>
      </w:r>
      <w:r>
        <w:fldChar w:fldCharType="end"/>
      </w:r>
      <w:r>
        <w:fldChar w:fldCharType="end"/>
      </w:r>
    </w:p>
    <w:p>
      <w:pPr>
        <w:pStyle w:val="TOC3"/>
        <w:rPr>
          <w:rFonts w:ascii="Calibri" w:hAnsi="Calibri"/>
          <w:noProof/>
          <w:sz w:val="22"/>
        </w:rPr>
      </w:pPr>
      <w:r>
        <w:fldChar w:fldCharType="begin"/>
      </w:r>
      <w:r>
        <w:instrText xml:space="preserve"> HYPERLINK \l "_Toc256000481" </w:instrText>
      </w:r>
      <w:r>
        <w:fldChar w:fldCharType="separate"/>
      </w:r>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_Toc256000481 \h </w:instrText>
      </w:r>
      <w:r>
        <w:fldChar w:fldCharType="separate"/>
      </w:r>
      <w:r>
        <w:t>797</w:t>
      </w:r>
      <w:r>
        <w:fldChar w:fldCharType="end"/>
      </w:r>
      <w:r>
        <w:fldChar w:fldCharType="end"/>
      </w:r>
    </w:p>
    <w:p>
      <w:pPr>
        <w:pStyle w:val="TOC3"/>
        <w:rPr>
          <w:rFonts w:ascii="Calibri" w:hAnsi="Calibri"/>
          <w:noProof/>
          <w:sz w:val="22"/>
        </w:rPr>
      </w:pPr>
      <w:r>
        <w:fldChar w:fldCharType="begin"/>
      </w:r>
      <w:r>
        <w:instrText xml:space="preserve"> HYPERLINK \l "_Toc256000482" </w:instrText>
      </w:r>
      <w:r>
        <w:fldChar w:fldCharType="separate"/>
      </w:r>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_Toc256000482 \h </w:instrText>
      </w:r>
      <w:r>
        <w:fldChar w:fldCharType="separate"/>
      </w:r>
      <w:r>
        <w:t>805</w:t>
      </w:r>
      <w:r>
        <w:fldChar w:fldCharType="end"/>
      </w:r>
      <w:r>
        <w:fldChar w:fldCharType="end"/>
      </w:r>
    </w:p>
    <w:p>
      <w:pPr>
        <w:pStyle w:val="TOC2"/>
        <w:rPr>
          <w:rFonts w:ascii="Calibri" w:hAnsi="Calibri"/>
          <w:noProof/>
          <w:sz w:val="22"/>
        </w:rPr>
      </w:pPr>
      <w:r>
        <w:fldChar w:fldCharType="begin"/>
      </w:r>
      <w:r>
        <w:instrText xml:space="preserve"> HYPERLINK \l "_Toc256000483" </w:instrText>
      </w:r>
      <w:r>
        <w:fldChar w:fldCharType="separate"/>
      </w:r>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_Toc256000483 \h </w:instrText>
      </w:r>
      <w:r>
        <w:fldChar w:fldCharType="separate"/>
      </w:r>
      <w:r>
        <w:t>805</w:t>
      </w:r>
      <w:r>
        <w:fldChar w:fldCharType="end"/>
      </w:r>
      <w:r>
        <w:fldChar w:fldCharType="end"/>
      </w:r>
    </w:p>
    <w:p>
      <w:pPr>
        <w:pStyle w:val="TOC1"/>
        <w:rPr>
          <w:rFonts w:ascii="Calibri" w:hAnsi="Calibri"/>
          <w:noProof/>
          <w:sz w:val="22"/>
        </w:rPr>
      </w:pPr>
      <w:r>
        <w:fldChar w:fldCharType="begin"/>
      </w:r>
      <w:r>
        <w:instrText xml:space="preserve"> HYPERLINK \l "_Toc256000484" </w:instrText>
      </w:r>
      <w:r>
        <w:fldChar w:fldCharType="separate"/>
      </w:r>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_Toc256000484 \h </w:instrText>
      </w:r>
      <w:r>
        <w:fldChar w:fldCharType="separate"/>
      </w:r>
      <w:r>
        <w:t>808</w:t>
      </w:r>
      <w:r>
        <w:fldChar w:fldCharType="end"/>
      </w:r>
      <w:r>
        <w:fldChar w:fldCharType="end"/>
      </w:r>
    </w:p>
    <w:p>
      <w:pPr>
        <w:pStyle w:val="TOC2"/>
        <w:rPr>
          <w:rFonts w:ascii="Calibri" w:hAnsi="Calibri"/>
          <w:noProof/>
          <w:sz w:val="22"/>
        </w:rPr>
      </w:pPr>
      <w:r>
        <w:fldChar w:fldCharType="begin"/>
      </w:r>
      <w:r>
        <w:instrText xml:space="preserve"> HYPERLINK \l "_Toc256000485" </w:instrText>
      </w:r>
      <w:r>
        <w:fldChar w:fldCharType="separate"/>
      </w:r>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_Toc256000485 \h </w:instrText>
      </w:r>
      <w:r>
        <w:fldChar w:fldCharType="separate"/>
      </w:r>
      <w:r>
        <w:t>808</w:t>
      </w:r>
      <w:r>
        <w:fldChar w:fldCharType="end"/>
      </w:r>
      <w:r>
        <w:fldChar w:fldCharType="end"/>
      </w:r>
    </w:p>
    <w:p>
      <w:pPr>
        <w:pStyle w:val="TOC3"/>
        <w:rPr>
          <w:rFonts w:ascii="Calibri" w:hAnsi="Calibri"/>
          <w:noProof/>
          <w:sz w:val="22"/>
        </w:rPr>
      </w:pPr>
      <w:r>
        <w:fldChar w:fldCharType="begin"/>
      </w:r>
      <w:r>
        <w:instrText xml:space="preserve"> HYPERLINK \l "_Toc256000486" </w:instrText>
      </w:r>
      <w:r>
        <w:fldChar w:fldCharType="separate"/>
      </w:r>
      <w:r>
        <w:rPr>
          <w:rStyle w:val="Hyperlink"/>
        </w:rPr>
        <w:t>15.1.1.</w:t>
      </w:r>
      <w:r>
        <w:rPr>
          <w:rStyle w:val="Hyperlink"/>
        </w:rPr>
        <w:t xml:space="preserve"> </w:t>
      </w:r>
      <w:r>
        <w:rPr>
          <w:rStyle w:val="Hyperlink"/>
        </w:rPr>
        <w:t>Органи</w:t>
      </w:r>
      <w:r>
        <w:tab/>
      </w:r>
      <w:r>
        <w:fldChar w:fldCharType="begin"/>
      </w:r>
      <w:r>
        <w:instrText xml:space="preserve"> PAGEREF _Toc256000486 \h </w:instrText>
      </w:r>
      <w:r>
        <w:fldChar w:fldCharType="separate"/>
      </w:r>
      <w:r>
        <w:t>808</w:t>
      </w:r>
      <w:r>
        <w:fldChar w:fldCharType="end"/>
      </w:r>
      <w:r>
        <w:fldChar w:fldCharType="end"/>
      </w:r>
    </w:p>
    <w:p>
      <w:pPr>
        <w:pStyle w:val="TOC3"/>
        <w:rPr>
          <w:rFonts w:ascii="Calibri" w:hAnsi="Calibri"/>
          <w:noProof/>
          <w:sz w:val="22"/>
        </w:rPr>
      </w:pPr>
      <w:r>
        <w:fldChar w:fldCharType="begin"/>
      </w:r>
      <w:r>
        <w:instrText xml:space="preserve"> HYPERLINK \l "_Toc256000487" </w:instrText>
      </w:r>
      <w:r>
        <w:fldChar w:fldCharType="separate"/>
      </w:r>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_Toc256000487 \h </w:instrText>
      </w:r>
      <w:r>
        <w:fldChar w:fldCharType="separate"/>
      </w:r>
      <w:r>
        <w:t>808</w:t>
      </w:r>
      <w:r>
        <w:fldChar w:fldCharType="end"/>
      </w:r>
      <w:r>
        <w:fldChar w:fldCharType="end"/>
      </w:r>
    </w:p>
    <w:p>
      <w:pPr>
        <w:pStyle w:val="TOC2"/>
        <w:rPr>
          <w:rFonts w:ascii="Calibri" w:hAnsi="Calibri"/>
          <w:noProof/>
          <w:sz w:val="22"/>
        </w:rPr>
      </w:pPr>
      <w:r>
        <w:fldChar w:fldCharType="begin"/>
      </w:r>
      <w:r>
        <w:instrText xml:space="preserve"> HYPERLINK \l "_Toc256000488" </w:instrText>
      </w:r>
      <w:r>
        <w:fldChar w:fldCharType="separate"/>
      </w:r>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_Toc256000488 \h </w:instrText>
      </w:r>
      <w:r>
        <w:fldChar w:fldCharType="separate"/>
      </w:r>
      <w:r>
        <w:t>812</w:t>
      </w:r>
      <w:r>
        <w:fldChar w:fldCharType="end"/>
      </w:r>
      <w:r>
        <w:fldChar w:fldCharType="end"/>
      </w:r>
    </w:p>
    <w:p>
      <w:pPr>
        <w:pStyle w:val="TOC2"/>
        <w:rPr>
          <w:rFonts w:ascii="Calibri" w:hAnsi="Calibri"/>
          <w:noProof/>
          <w:sz w:val="22"/>
        </w:rPr>
      </w:pPr>
      <w:r>
        <w:fldChar w:fldCharType="begin"/>
      </w:r>
      <w:r>
        <w:instrText xml:space="preserve"> HYPERLINK \l "_Toc256000489" </w:instrText>
      </w:r>
      <w:r>
        <w:fldChar w:fldCharType="separate"/>
      </w:r>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_Toc256000489 \h </w:instrText>
      </w:r>
      <w:r>
        <w:fldChar w:fldCharType="separate"/>
      </w:r>
      <w:r>
        <w:t>814</w:t>
      </w:r>
      <w:r>
        <w:fldChar w:fldCharType="end"/>
      </w:r>
      <w:r>
        <w:fldChar w:fldCharType="end"/>
      </w:r>
    </w:p>
    <w:p>
      <w:pPr>
        <w:pStyle w:val="TOC2"/>
        <w:rPr>
          <w:rFonts w:ascii="Calibri" w:hAnsi="Calibri"/>
          <w:noProof/>
          <w:sz w:val="22"/>
        </w:rPr>
      </w:pPr>
      <w:r>
        <w:fldChar w:fldCharType="begin"/>
      </w:r>
      <w:r>
        <w:instrText xml:space="preserve"> HYPERLINK \l "_Toc256000490" </w:instrText>
      </w:r>
      <w:r>
        <w:fldChar w:fldCharType="separate"/>
      </w:r>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_Toc256000490 \h </w:instrText>
      </w:r>
      <w:r>
        <w:fldChar w:fldCharType="separate"/>
      </w:r>
      <w:r>
        <w:t>820</w:t>
      </w:r>
      <w:r>
        <w:fldChar w:fldCharType="end"/>
      </w:r>
      <w:r>
        <w:fldChar w:fldCharType="end"/>
      </w:r>
    </w:p>
    <w:p>
      <w:pPr>
        <w:pStyle w:val="TOC2"/>
        <w:rPr>
          <w:rFonts w:ascii="Calibri" w:hAnsi="Calibri"/>
          <w:noProof/>
          <w:sz w:val="22"/>
        </w:rPr>
      </w:pPr>
      <w:r>
        <w:fldChar w:fldCharType="begin"/>
      </w:r>
      <w:r>
        <w:instrText xml:space="preserve"> HYPERLINK \l "_Toc256000491" </w:instrText>
      </w:r>
      <w:r>
        <w:fldChar w:fldCharType="separate"/>
      </w:r>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_Toc256000491 \h </w:instrText>
      </w:r>
      <w:r>
        <w:fldChar w:fldCharType="separate"/>
      </w:r>
      <w:r>
        <w:t>821</w:t>
      </w:r>
      <w:r>
        <w:fldChar w:fldCharType="end"/>
      </w:r>
      <w:r>
        <w:fldChar w:fldCharType="end"/>
      </w:r>
    </w:p>
    <w:p>
      <w:pPr>
        <w:pStyle w:val="TOC2"/>
        <w:rPr>
          <w:rFonts w:ascii="Calibri" w:hAnsi="Calibri"/>
          <w:noProof/>
          <w:sz w:val="22"/>
        </w:rPr>
      </w:pPr>
      <w:r>
        <w:fldChar w:fldCharType="begin"/>
      </w:r>
      <w:r>
        <w:instrText xml:space="preserve"> HYPERLINK \l "_Toc256000492" </w:instrText>
      </w:r>
      <w:r>
        <w:fldChar w:fldCharType="separate"/>
      </w:r>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_Toc256000492 \h </w:instrText>
      </w:r>
      <w:r>
        <w:fldChar w:fldCharType="separate"/>
      </w:r>
      <w:r>
        <w:t>824</w:t>
      </w:r>
      <w:r>
        <w:fldChar w:fldCharType="end"/>
      </w:r>
      <w:r>
        <w:fldChar w:fldCharType="end"/>
      </w:r>
    </w:p>
    <w:p>
      <w:pPr>
        <w:pStyle w:val="TOC1"/>
        <w:rPr>
          <w:rFonts w:ascii="Calibri" w:hAnsi="Calibri"/>
          <w:noProof/>
          <w:sz w:val="22"/>
        </w:rPr>
      </w:pPr>
      <w:r>
        <w:fldChar w:fldCharType="begin"/>
      </w:r>
      <w:r>
        <w:instrText xml:space="preserve"> HYPERLINK \l "_Toc256000493" </w:instrText>
      </w:r>
      <w:r>
        <w:fldChar w:fldCharType="separate"/>
      </w:r>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_Toc256000493 \h </w:instrText>
      </w:r>
      <w:r>
        <w:fldChar w:fldCharType="separate"/>
      </w:r>
      <w:r>
        <w:t>828</w:t>
      </w:r>
      <w:r>
        <w:fldChar w:fldCharType="end"/>
      </w:r>
      <w:r>
        <w:fldChar w:fldCharType="end"/>
      </w:r>
    </w:p>
    <w:p>
      <w:pPr>
        <w:pStyle w:val="TOC2"/>
        <w:rPr>
          <w:rFonts w:ascii="Calibri" w:hAnsi="Calibri"/>
          <w:noProof/>
          <w:sz w:val="22"/>
        </w:rPr>
      </w:pPr>
      <w:r>
        <w:fldChar w:fldCharType="begin"/>
      </w:r>
      <w:r>
        <w:instrText xml:space="preserve"> HYPERLINK \l "_Toc256000494" </w:instrText>
      </w:r>
      <w:r>
        <w:fldChar w:fldCharType="separate"/>
      </w:r>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_Toc256000494 \h </w:instrText>
      </w:r>
      <w:r>
        <w:fldChar w:fldCharType="separate"/>
      </w:r>
      <w:r>
        <w:t>828</w:t>
      </w:r>
      <w:r>
        <w:fldChar w:fldCharType="end"/>
      </w:r>
      <w:r>
        <w:fldChar w:fldCharType="end"/>
      </w:r>
    </w:p>
    <w:p>
      <w:pPr>
        <w:pStyle w:val="TOC3"/>
        <w:rPr>
          <w:rFonts w:ascii="Calibri" w:hAnsi="Calibri"/>
          <w:noProof/>
          <w:sz w:val="22"/>
        </w:rPr>
      </w:pPr>
      <w:r>
        <w:fldChar w:fldCharType="begin"/>
      </w:r>
      <w:r>
        <w:instrText xml:space="preserve"> HYPERLINK \l "_Toc256000495" </w:instrText>
      </w:r>
      <w:r>
        <w:fldChar w:fldCharType="separate"/>
      </w:r>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_Toc256000495 \h </w:instrText>
      </w:r>
      <w:r>
        <w:fldChar w:fldCharType="separate"/>
      </w:r>
      <w:r>
        <w:t>828</w:t>
      </w:r>
      <w:r>
        <w:fldChar w:fldCharType="end"/>
      </w:r>
      <w:r>
        <w:fldChar w:fldCharType="end"/>
      </w:r>
    </w:p>
    <w:p>
      <w:pPr>
        <w:pStyle w:val="TOC3"/>
        <w:rPr>
          <w:rFonts w:ascii="Calibri" w:hAnsi="Calibri"/>
          <w:noProof/>
          <w:sz w:val="22"/>
        </w:rPr>
      </w:pPr>
      <w:r>
        <w:fldChar w:fldCharType="begin"/>
      </w:r>
      <w:r>
        <w:instrText xml:space="preserve"> HYPERLINK \l "_Toc256000496" </w:instrText>
      </w:r>
      <w:r>
        <w:fldChar w:fldCharType="separate"/>
      </w:r>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_Toc256000496 \h </w:instrText>
      </w:r>
      <w:r>
        <w:fldChar w:fldCharType="separate"/>
      </w:r>
      <w:r>
        <w:t>828</w:t>
      </w:r>
      <w:r>
        <w:fldChar w:fldCharType="end"/>
      </w:r>
      <w:r>
        <w:fldChar w:fldCharType="end"/>
      </w:r>
    </w:p>
    <w:p>
      <w:pPr>
        <w:pStyle w:val="TOC2"/>
        <w:rPr>
          <w:rFonts w:ascii="Calibri" w:hAnsi="Calibri"/>
          <w:noProof/>
          <w:sz w:val="22"/>
        </w:rPr>
      </w:pPr>
      <w:r>
        <w:fldChar w:fldCharType="begin"/>
      </w:r>
      <w:r>
        <w:instrText xml:space="preserve"> HYPERLINK \l "_Toc256000497" </w:instrText>
      </w:r>
      <w:r>
        <w:fldChar w:fldCharType="separate"/>
      </w:r>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_Toc256000497 \h </w:instrText>
      </w:r>
      <w:r>
        <w:fldChar w:fldCharType="separate"/>
      </w:r>
      <w:r>
        <w:t>828</w:t>
      </w:r>
      <w:r>
        <w:fldChar w:fldCharType="end"/>
      </w:r>
      <w:r>
        <w:fldChar w:fldCharType="end"/>
      </w:r>
    </w:p>
    <w:p>
      <w:pPr>
        <w:pStyle w:val="TOC3"/>
        <w:rPr>
          <w:rFonts w:ascii="Calibri" w:hAnsi="Calibri"/>
          <w:noProof/>
          <w:sz w:val="22"/>
        </w:rPr>
      </w:pPr>
      <w:r>
        <w:fldChar w:fldCharType="begin"/>
      </w:r>
      <w:r>
        <w:instrText xml:space="preserve"> HYPERLINK \l "_Toc256000498" </w:instrText>
      </w:r>
      <w:r>
        <w:fldChar w:fldCharType="separate"/>
      </w:r>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_Toc256000498 \h </w:instrText>
      </w:r>
      <w:r>
        <w:fldChar w:fldCharType="separate"/>
      </w:r>
      <w:r>
        <w:t>828</w:t>
      </w:r>
      <w:r>
        <w:fldChar w:fldCharType="end"/>
      </w:r>
      <w:r>
        <w:fldChar w:fldCharType="end"/>
      </w:r>
    </w:p>
    <w:p>
      <w:pPr>
        <w:pStyle w:val="TOC3"/>
        <w:rPr>
          <w:rFonts w:ascii="Calibri" w:hAnsi="Calibri"/>
          <w:noProof/>
          <w:sz w:val="22"/>
        </w:rPr>
      </w:pPr>
      <w:r>
        <w:fldChar w:fldCharType="begin"/>
      </w:r>
      <w:r>
        <w:instrText xml:space="preserve"> HYPERLINK \l "_Toc256000499" </w:instrText>
      </w:r>
      <w:r>
        <w:fldChar w:fldCharType="separate"/>
      </w:r>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_Toc256000499 \h </w:instrText>
      </w:r>
      <w:r>
        <w:fldChar w:fldCharType="separate"/>
      </w:r>
      <w:r>
        <w:t>828</w:t>
      </w:r>
      <w:r>
        <w:fldChar w:fldCharType="end"/>
      </w:r>
      <w:r>
        <w:fldChar w:fldCharType="end"/>
      </w:r>
    </w:p>
    <w:p>
      <w:pPr>
        <w:pStyle w:val="TOC2"/>
        <w:rPr>
          <w:rFonts w:ascii="Calibri" w:hAnsi="Calibri"/>
          <w:noProof/>
          <w:sz w:val="22"/>
        </w:rPr>
      </w:pPr>
      <w:r>
        <w:fldChar w:fldCharType="begin"/>
      </w:r>
      <w:r>
        <w:instrText xml:space="preserve"> HYPERLINK \l "_Toc256000500" </w:instrText>
      </w:r>
      <w:r>
        <w:fldChar w:fldCharType="separate"/>
      </w:r>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_Toc256000500 \h </w:instrText>
      </w:r>
      <w:r>
        <w:fldChar w:fldCharType="separate"/>
      </w:r>
      <w:r>
        <w:t>829</w:t>
      </w:r>
      <w:r>
        <w:fldChar w:fldCharType="end"/>
      </w:r>
      <w:r>
        <w:fldChar w:fldCharType="end"/>
      </w:r>
    </w:p>
    <w:p>
      <w:pPr>
        <w:pStyle w:val="TOC3"/>
        <w:rPr>
          <w:rFonts w:ascii="Calibri" w:hAnsi="Calibri"/>
          <w:noProof/>
          <w:sz w:val="22"/>
        </w:rPr>
      </w:pPr>
      <w:r>
        <w:fldChar w:fldCharType="begin"/>
      </w:r>
      <w:r>
        <w:instrText xml:space="preserve"> HYPERLINK \l "_Toc256000501" </w:instrText>
      </w:r>
      <w:r>
        <w:fldChar w:fldCharType="separate"/>
      </w:r>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_Toc256000501 \h </w:instrText>
      </w:r>
      <w:r>
        <w:fldChar w:fldCharType="separate"/>
      </w:r>
      <w:r>
        <w:t>829</w:t>
      </w:r>
      <w:r>
        <w:fldChar w:fldCharType="end"/>
      </w:r>
      <w:r>
        <w:fldChar w:fldCharType="end"/>
      </w:r>
    </w:p>
    <w:p>
      <w:pPr>
        <w:pStyle w:val="TOC3"/>
        <w:rPr>
          <w:rFonts w:ascii="Calibri" w:hAnsi="Calibri"/>
          <w:noProof/>
          <w:sz w:val="22"/>
        </w:rPr>
      </w:pPr>
      <w:r>
        <w:fldChar w:fldCharType="begin"/>
      </w:r>
      <w:r>
        <w:instrText xml:space="preserve"> HYPERLINK \l "_Toc256000502" </w:instrText>
      </w:r>
      <w:r>
        <w:fldChar w:fldCharType="separate"/>
      </w:r>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_Toc256000502 \h </w:instrText>
      </w:r>
      <w:r>
        <w:fldChar w:fldCharType="separate"/>
      </w:r>
      <w:r>
        <w:t>829</w:t>
      </w:r>
      <w:r>
        <w:fldChar w:fldCharType="end"/>
      </w:r>
      <w:r>
        <w:fldChar w:fldCharType="end"/>
      </w:r>
    </w:p>
    <w:p>
      <w:pPr>
        <w:pStyle w:val="TOC2"/>
        <w:rPr>
          <w:rFonts w:ascii="Calibri" w:hAnsi="Calibri"/>
          <w:noProof/>
          <w:sz w:val="22"/>
        </w:rPr>
      </w:pPr>
      <w:r>
        <w:fldChar w:fldCharType="begin"/>
      </w:r>
      <w:r>
        <w:instrText xml:space="preserve"> HYPERLINK \l "_Toc256000503" </w:instrText>
      </w:r>
      <w:r>
        <w:fldChar w:fldCharType="separate"/>
      </w:r>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_Toc256000503 \h </w:instrText>
      </w:r>
      <w:r>
        <w:fldChar w:fldCharType="separate"/>
      </w:r>
      <w:r>
        <w:t>829</w:t>
      </w:r>
      <w:r>
        <w:fldChar w:fldCharType="end"/>
      </w:r>
      <w:r>
        <w:fldChar w:fldCharType="end"/>
      </w:r>
    </w:p>
    <w:p>
      <w:pPr>
        <w:pStyle w:val="TOC3"/>
        <w:rPr>
          <w:rFonts w:ascii="Calibri" w:hAnsi="Calibri"/>
          <w:noProof/>
          <w:sz w:val="22"/>
        </w:rPr>
      </w:pPr>
      <w:r>
        <w:fldChar w:fldCharType="begin"/>
      </w:r>
      <w:r>
        <w:instrText xml:space="preserve"> HYPERLINK \l "_Toc256000504" </w:instrText>
      </w:r>
      <w:r>
        <w:fldChar w:fldCharType="separate"/>
      </w:r>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_Toc256000504 \h </w:instrText>
      </w:r>
      <w:r>
        <w:fldChar w:fldCharType="separate"/>
      </w:r>
      <w:r>
        <w:t>829</w:t>
      </w:r>
      <w:r>
        <w:fldChar w:fldCharType="end"/>
      </w:r>
      <w:r>
        <w:fldChar w:fldCharType="end"/>
      </w:r>
    </w:p>
    <w:p>
      <w:pPr>
        <w:pStyle w:val="TOC3"/>
        <w:rPr>
          <w:rFonts w:ascii="Calibri" w:hAnsi="Calibri"/>
          <w:noProof/>
          <w:sz w:val="22"/>
        </w:rPr>
      </w:pPr>
      <w:r>
        <w:fldChar w:fldCharType="begin"/>
      </w:r>
      <w:r>
        <w:instrText xml:space="preserve"> HYPERLINK \l "_Toc256000505" </w:instrText>
      </w:r>
      <w:r>
        <w:fldChar w:fldCharType="separate"/>
      </w:r>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_Toc256000505 \h </w:instrText>
      </w:r>
      <w:r>
        <w:fldChar w:fldCharType="separate"/>
      </w:r>
      <w:r>
        <w:t>829</w:t>
      </w:r>
      <w:r>
        <w:fldChar w:fldCharType="end"/>
      </w:r>
      <w:r>
        <w:fldChar w:fldCharType="end"/>
      </w:r>
    </w:p>
    <w:p>
      <w:pPr>
        <w:pStyle w:val="TOC2"/>
        <w:rPr>
          <w:rFonts w:ascii="Calibri" w:hAnsi="Calibri"/>
          <w:noProof/>
          <w:sz w:val="22"/>
        </w:rPr>
      </w:pPr>
      <w:r>
        <w:fldChar w:fldCharType="begin"/>
      </w:r>
      <w:r>
        <w:instrText xml:space="preserve"> HYPERLINK \l "_Toc256000506" </w:instrText>
      </w:r>
      <w:r>
        <w:fldChar w:fldCharType="separate"/>
      </w:r>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_Toc256000506 \h </w:instrText>
      </w:r>
      <w:r>
        <w:fldChar w:fldCharType="separate"/>
      </w:r>
      <w:r>
        <w:t>830</w:t>
      </w:r>
      <w:r>
        <w:fldChar w:fldCharType="end"/>
      </w:r>
      <w:r>
        <w:fldChar w:fldCharType="end"/>
      </w:r>
    </w:p>
    <w:p>
      <w:pPr>
        <w:pStyle w:val="TOC3"/>
        <w:rPr>
          <w:rFonts w:ascii="Calibri" w:hAnsi="Calibri"/>
          <w:noProof/>
          <w:sz w:val="22"/>
        </w:rPr>
      </w:pPr>
      <w:r>
        <w:fldChar w:fldCharType="begin"/>
      </w:r>
      <w:r>
        <w:instrText xml:space="preserve"> HYPERLINK \l "_Toc256000507" </w:instrText>
      </w:r>
      <w:r>
        <w:fldChar w:fldCharType="separate"/>
      </w:r>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_Toc256000507 \h </w:instrText>
      </w:r>
      <w:r>
        <w:fldChar w:fldCharType="separate"/>
      </w:r>
      <w:r>
        <w:t>830</w:t>
      </w:r>
      <w:r>
        <w:fldChar w:fldCharType="end"/>
      </w:r>
      <w:r>
        <w:fldChar w:fldCharType="end"/>
      </w:r>
    </w:p>
    <w:p>
      <w:pPr>
        <w:pStyle w:val="TOC3"/>
        <w:rPr>
          <w:rFonts w:ascii="Calibri" w:hAnsi="Calibri"/>
          <w:noProof/>
          <w:sz w:val="22"/>
        </w:rPr>
      </w:pPr>
      <w:r>
        <w:fldChar w:fldCharType="begin"/>
      </w:r>
      <w:r>
        <w:instrText xml:space="preserve"> HYPERLINK \l "_Toc256000508" </w:instrText>
      </w:r>
      <w:r>
        <w:fldChar w:fldCharType="separate"/>
      </w:r>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_Toc256000508 \h </w:instrText>
      </w:r>
      <w:r>
        <w:fldChar w:fldCharType="separate"/>
      </w:r>
      <w:r>
        <w:t>830</w:t>
      </w:r>
      <w:r>
        <w:fldChar w:fldCharType="end"/>
      </w:r>
      <w:r>
        <w:fldChar w:fldCharType="end"/>
      </w:r>
    </w:p>
    <w:p>
      <w:pPr>
        <w:pStyle w:val="TOC2"/>
        <w:rPr>
          <w:rFonts w:ascii="Calibri" w:hAnsi="Calibri"/>
          <w:noProof/>
          <w:sz w:val="22"/>
        </w:rPr>
      </w:pPr>
      <w:r>
        <w:fldChar w:fldCharType="begin"/>
      </w:r>
      <w:r>
        <w:instrText xml:space="preserve"> HYPERLINK \l "_Toc256000509" </w:instrText>
      </w:r>
      <w:r>
        <w:fldChar w:fldCharType="separate"/>
      </w:r>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_Toc256000509 \h </w:instrText>
      </w:r>
      <w:r>
        <w:fldChar w:fldCharType="separate"/>
      </w:r>
      <w:r>
        <w:t>830</w:t>
      </w:r>
      <w:r>
        <w:fldChar w:fldCharType="end"/>
      </w:r>
      <w:r>
        <w:fldChar w:fldCharType="end"/>
      </w:r>
    </w:p>
    <w:p>
      <w:pPr>
        <w:pStyle w:val="TOC3"/>
        <w:rPr>
          <w:rFonts w:ascii="Calibri" w:hAnsi="Calibri"/>
          <w:noProof/>
          <w:sz w:val="22"/>
        </w:rPr>
      </w:pPr>
      <w:r>
        <w:fldChar w:fldCharType="begin"/>
      </w:r>
      <w:r>
        <w:instrText xml:space="preserve"> HYPERLINK \l "_Toc256000510" </w:instrText>
      </w:r>
      <w:r>
        <w:fldChar w:fldCharType="separate"/>
      </w:r>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_Toc256000510 \h </w:instrText>
      </w:r>
      <w:r>
        <w:fldChar w:fldCharType="separate"/>
      </w:r>
      <w:r>
        <w:t>830</w:t>
      </w:r>
      <w:r>
        <w:fldChar w:fldCharType="end"/>
      </w:r>
      <w:r>
        <w:fldChar w:fldCharType="end"/>
      </w:r>
    </w:p>
    <w:p>
      <w:pPr>
        <w:pStyle w:val="TOC3"/>
        <w:rPr>
          <w:rFonts w:ascii="Calibri" w:hAnsi="Calibri"/>
          <w:noProof/>
          <w:sz w:val="22"/>
        </w:rPr>
      </w:pPr>
      <w:r>
        <w:fldChar w:fldCharType="begin"/>
      </w:r>
      <w:r>
        <w:instrText xml:space="preserve"> HYPERLINK \l "_Toc256000511" </w:instrText>
      </w:r>
      <w:r>
        <w:fldChar w:fldCharType="separate"/>
      </w:r>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_Toc256000511 \h </w:instrText>
      </w:r>
      <w:r>
        <w:fldChar w:fldCharType="separate"/>
      </w:r>
      <w:r>
        <w:t>830</w:t>
      </w:r>
      <w:r>
        <w:fldChar w:fldCharType="end"/>
      </w:r>
      <w:r>
        <w:fldChar w:fldCharType="end"/>
      </w:r>
    </w:p>
    <w:p>
      <w:pPr>
        <w:pStyle w:val="TOC2"/>
        <w:rPr>
          <w:rFonts w:ascii="Calibri" w:hAnsi="Calibri"/>
          <w:noProof/>
          <w:sz w:val="22"/>
        </w:rPr>
      </w:pPr>
      <w:r>
        <w:fldChar w:fldCharType="begin"/>
      </w:r>
      <w:r>
        <w:instrText xml:space="preserve"> HYPERLINK \l "_Toc256000512" </w:instrText>
      </w:r>
      <w:r>
        <w:fldChar w:fldCharType="separate"/>
      </w:r>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_Toc256000512 \h </w:instrText>
      </w:r>
      <w:r>
        <w:fldChar w:fldCharType="separate"/>
      </w:r>
      <w:r>
        <w:t>830</w:t>
      </w:r>
      <w:r>
        <w:fldChar w:fldCharType="end"/>
      </w:r>
      <w:r>
        <w:fldChar w:fldCharType="end"/>
      </w:r>
    </w:p>
    <w:p>
      <w:pPr>
        <w:pStyle w:val="TOC1"/>
        <w:rPr>
          <w:rFonts w:ascii="Calibri" w:hAnsi="Calibri"/>
          <w:noProof/>
          <w:sz w:val="22"/>
        </w:rPr>
      </w:pPr>
      <w:r>
        <w:fldChar w:fldCharType="begin"/>
      </w:r>
      <w:r>
        <w:instrText xml:space="preserve"> HYPERLINK \l "_Toc256000513" </w:instrText>
      </w:r>
      <w:r>
        <w:fldChar w:fldCharType="separate"/>
      </w:r>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_Toc256000513 \h </w:instrText>
      </w:r>
      <w:r>
        <w:fldChar w:fldCharType="separate"/>
      </w:r>
      <w:r>
        <w:t>834</w:t>
      </w:r>
      <w:r>
        <w:fldChar w:fldCharType="end"/>
      </w:r>
      <w:r>
        <w:fldChar w:fldCharType="end"/>
      </w:r>
    </w:p>
    <w:p>
      <w:pPr>
        <w:pStyle w:val="TOC2"/>
        <w:rPr>
          <w:rFonts w:ascii="Calibri" w:hAnsi="Calibri"/>
          <w:noProof/>
          <w:sz w:val="22"/>
        </w:rPr>
      </w:pPr>
      <w:r>
        <w:fldChar w:fldCharType="begin"/>
      </w:r>
      <w:r>
        <w:instrText xml:space="preserve"> HYPERLINK \l "_Toc256000514" </w:instrText>
      </w:r>
      <w:r>
        <w:fldChar w:fldCharType="separate"/>
      </w:r>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_Toc256000514 \h </w:instrText>
      </w:r>
      <w:r>
        <w:fldChar w:fldCharType="separate"/>
      </w:r>
      <w:r>
        <w:t>834</w:t>
      </w:r>
      <w:r>
        <w:fldChar w:fldCharType="end"/>
      </w:r>
      <w:r>
        <w:fldChar w:fldCharType="end"/>
      </w:r>
    </w:p>
    <w:p>
      <w:pPr>
        <w:pStyle w:val="TOC2"/>
        <w:rPr>
          <w:rFonts w:ascii="Calibri" w:hAnsi="Calibri"/>
          <w:noProof/>
          <w:sz w:val="22"/>
        </w:rPr>
      </w:pPr>
      <w:r>
        <w:fldChar w:fldCharType="begin"/>
      </w:r>
      <w:r>
        <w:instrText xml:space="preserve"> HYPERLINK \l "_Toc256000515" </w:instrText>
      </w:r>
      <w:r>
        <w:fldChar w:fldCharType="separate"/>
      </w:r>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_Toc256000515 \h </w:instrText>
      </w:r>
      <w:r>
        <w:fldChar w:fldCharType="separate"/>
      </w:r>
      <w:r>
        <w:t>834</w:t>
      </w:r>
      <w:r>
        <w:fldChar w:fldCharType="end"/>
      </w:r>
      <w:r>
        <w:fldChar w:fldCharType="end"/>
      </w:r>
    </w:p>
    <w:p>
      <w:pPr>
        <w:pStyle w:val="TOC2"/>
        <w:rPr>
          <w:rFonts w:ascii="Calibri" w:hAnsi="Calibri"/>
          <w:noProof/>
          <w:sz w:val="22"/>
        </w:rPr>
      </w:pPr>
      <w:r>
        <w:fldChar w:fldCharType="begin"/>
      </w:r>
      <w:r>
        <w:instrText xml:space="preserve"> HYPERLINK \l "_Toc256000516" </w:instrText>
      </w:r>
      <w:r>
        <w:fldChar w:fldCharType="separate"/>
      </w:r>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_Toc256000516 \h </w:instrText>
      </w:r>
      <w:r>
        <w:fldChar w:fldCharType="separate"/>
      </w:r>
      <w:r>
        <w:t>836</w:t>
      </w:r>
      <w:r>
        <w:fldChar w:fldCharType="end"/>
      </w:r>
      <w:r>
        <w:fldChar w:fldCharType="end"/>
      </w:r>
    </w:p>
    <w:p>
      <w:pPr>
        <w:pStyle w:val="TOC2"/>
        <w:rPr>
          <w:rFonts w:ascii="Calibri" w:hAnsi="Calibri"/>
          <w:noProof/>
          <w:sz w:val="22"/>
        </w:rPr>
      </w:pPr>
      <w:r>
        <w:fldChar w:fldCharType="begin"/>
      </w:r>
      <w:r>
        <w:instrText xml:space="preserve"> HYPERLINK \l "_Toc256000517" </w:instrText>
      </w:r>
      <w:r>
        <w:fldChar w:fldCharType="separate"/>
      </w:r>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_Toc256000517 \h </w:instrText>
      </w:r>
      <w:r>
        <w:fldChar w:fldCharType="separate"/>
      </w:r>
      <w:r>
        <w:t>842</w:t>
      </w:r>
      <w:r>
        <w:fldChar w:fldCharType="end"/>
      </w:r>
      <w:r>
        <w:fldChar w:fldCharType="end"/>
      </w:r>
    </w:p>
    <w:p>
      <w:pPr>
        <w:pStyle w:val="TOC1"/>
        <w:rPr>
          <w:rFonts w:ascii="Calibri" w:hAnsi="Calibri"/>
          <w:noProof/>
          <w:sz w:val="22"/>
        </w:rPr>
      </w:pPr>
      <w:r>
        <w:fldChar w:fldCharType="begin"/>
      </w:r>
      <w:r>
        <w:instrText xml:space="preserve"> HYPERLINK \l "_Toc256000518" </w:instrText>
      </w:r>
      <w:r>
        <w:fldChar w:fldCharType="separate"/>
      </w:r>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_Toc256000518 \h </w:instrText>
      </w:r>
      <w:r>
        <w:fldChar w:fldCharType="separate"/>
      </w:r>
      <w:r>
        <w:t>843</w:t>
      </w:r>
      <w:r>
        <w:fldChar w:fldCharType="end"/>
      </w:r>
      <w:r>
        <w:fldChar w:fldCharType="end"/>
      </w:r>
    </w:p>
    <w:p>
      <w:pPr>
        <w:pStyle w:val="TOC2"/>
        <w:rPr>
          <w:rFonts w:ascii="Calibri" w:hAnsi="Calibri"/>
          <w:noProof/>
          <w:sz w:val="22"/>
        </w:rPr>
      </w:pPr>
      <w:r>
        <w:fldChar w:fldCharType="begin"/>
      </w:r>
      <w:r>
        <w:instrText xml:space="preserve"> HYPERLINK \l "_Toc256000519" </w:instrText>
      </w:r>
      <w:r>
        <w:fldChar w:fldCharType="separate"/>
      </w:r>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_Toc256000519 \h </w:instrText>
      </w:r>
      <w:r>
        <w:fldChar w:fldCharType="separate"/>
      </w:r>
      <w:r>
        <w:t>843</w:t>
      </w:r>
      <w:r>
        <w:fldChar w:fldCharType="end"/>
      </w:r>
      <w:r>
        <w:fldChar w:fldCharType="end"/>
      </w:r>
    </w:p>
    <w:p>
      <w:pPr>
        <w:pStyle w:val="TOC2"/>
        <w:rPr>
          <w:rFonts w:ascii="Calibri" w:hAnsi="Calibri"/>
          <w:noProof/>
          <w:sz w:val="22"/>
        </w:rPr>
      </w:pPr>
      <w:r>
        <w:fldChar w:fldCharType="begin"/>
      </w:r>
      <w:r>
        <w:instrText xml:space="preserve"> HYPERLINK \l "_Toc256000520" </w:instrText>
      </w:r>
      <w:r>
        <w:fldChar w:fldCharType="separate"/>
      </w:r>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_Toc256000520 \h </w:instrText>
      </w:r>
      <w:r>
        <w:fldChar w:fldCharType="separate"/>
      </w:r>
      <w:r>
        <w:t>844</w:t>
      </w:r>
      <w:r>
        <w:fldChar w:fldCharType="end"/>
      </w:r>
      <w:r>
        <w:fldChar w:fldCharType="end"/>
      </w:r>
    </w:p>
    <w:p>
      <w:pPr>
        <w:pStyle w:val="TOC1"/>
        <w:rPr>
          <w:rFonts w:ascii="Calibri" w:hAnsi="Calibri"/>
          <w:noProof/>
          <w:sz w:val="22"/>
        </w:rPr>
      </w:pPr>
      <w:r>
        <w:fldChar w:fldCharType="begin"/>
      </w:r>
      <w:r>
        <w:instrText xml:space="preserve"> HYPERLINK \l "_Toc256000521" </w:instrText>
      </w:r>
      <w:r>
        <w:fldChar w:fldCharType="separate"/>
      </w:r>
      <w:r>
        <w:rPr>
          <w:rStyle w:val="Hyperlink"/>
        </w:rPr>
        <w:t>19.</w:t>
      </w:r>
      <w:r>
        <w:rPr>
          <w:rStyle w:val="Hyperlink"/>
        </w:rPr>
        <w:t xml:space="preserve"> </w:t>
      </w:r>
      <w:r>
        <w:rPr>
          <w:rStyle w:val="Hyperlink"/>
        </w:rPr>
        <w:t>Преходни условия</w:t>
      </w:r>
      <w:r>
        <w:tab/>
      </w:r>
      <w:r>
        <w:fldChar w:fldCharType="begin"/>
      </w:r>
      <w:r>
        <w:instrText xml:space="preserve"> PAGEREF _Toc256000521 \h </w:instrText>
      </w:r>
      <w:r>
        <w:fldChar w:fldCharType="separate"/>
      </w:r>
      <w:r>
        <w:t>847</w:t>
      </w:r>
      <w:r>
        <w:fldChar w:fldCharType="end"/>
      </w:r>
      <w:r>
        <w:fldChar w:fldCharType="end"/>
      </w:r>
    </w:p>
    <w:p>
      <w:pPr>
        <w:pStyle w:val="TOC2"/>
        <w:rPr>
          <w:rFonts w:ascii="Calibri" w:hAnsi="Calibri"/>
          <w:noProof/>
          <w:sz w:val="22"/>
        </w:rPr>
      </w:pPr>
      <w:r>
        <w:fldChar w:fldCharType="begin"/>
      </w:r>
      <w:r>
        <w:instrText xml:space="preserve"> HYPERLINK \l "_Toc256000522" </w:instrText>
      </w:r>
      <w:r>
        <w:fldChar w:fldCharType="separate"/>
      </w:r>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_Toc256000522 \h </w:instrText>
      </w:r>
      <w:r>
        <w:fldChar w:fldCharType="separate"/>
      </w:r>
      <w:r>
        <w:t>847</w:t>
      </w:r>
      <w:r>
        <w:fldChar w:fldCharType="end"/>
      </w:r>
      <w:r>
        <w:fldChar w:fldCharType="end"/>
      </w:r>
    </w:p>
    <w:p>
      <w:pPr>
        <w:pStyle w:val="TOC2"/>
        <w:rPr>
          <w:rFonts w:ascii="Calibri" w:hAnsi="Calibri"/>
          <w:noProof/>
          <w:sz w:val="22"/>
        </w:rPr>
      </w:pPr>
      <w:r>
        <w:fldChar w:fldCharType="begin"/>
      </w:r>
      <w:r>
        <w:instrText xml:space="preserve"> HYPERLINK \l "_Toc256000523" </w:instrText>
      </w:r>
      <w:r>
        <w:fldChar w:fldCharType="separate"/>
      </w:r>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_Toc256000523 \h </w:instrText>
      </w:r>
      <w:r>
        <w:fldChar w:fldCharType="separate"/>
      </w:r>
      <w:r>
        <w:t>849</w:t>
      </w:r>
      <w:r>
        <w:fldChar w:fldCharType="end"/>
      </w:r>
      <w:r>
        <w:fldChar w:fldCharType="end"/>
      </w:r>
    </w:p>
    <w:p>
      <w:pPr>
        <w:pStyle w:val="TOC1"/>
        <w:rPr>
          <w:rFonts w:ascii="Calibri" w:hAnsi="Calibri"/>
          <w:noProof/>
          <w:sz w:val="22"/>
        </w:rPr>
      </w:pPr>
      <w:r>
        <w:fldChar w:fldCharType="begin"/>
      </w:r>
      <w:r>
        <w:instrText xml:space="preserve"> HYPERLINK \l "_Toc256000524" </w:instrText>
      </w:r>
      <w:r>
        <w:fldChar w:fldCharType="separate"/>
      </w:r>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_Toc256000524 \h </w:instrText>
      </w:r>
      <w:r>
        <w:fldChar w:fldCharType="separate"/>
      </w:r>
      <w:r>
        <w:t>851</w:t>
      </w:r>
      <w:r>
        <w:fldChar w:fldCharType="end"/>
      </w:r>
      <w:r>
        <w:fldChar w:fldCharType="end"/>
      </w:r>
    </w:p>
    <w:p>
      <w:pPr>
        <w:pStyle w:val="TOC2"/>
        <w:rPr>
          <w:rFonts w:ascii="Calibri" w:hAnsi="Calibri"/>
          <w:noProof/>
          <w:sz w:val="22"/>
        </w:rPr>
      </w:pPr>
      <w:r>
        <w:fldChar w:fldCharType="begin"/>
      </w:r>
      <w:r>
        <w:instrText xml:space="preserve"> HYPERLINK \l "_Toc256000525" </w:instrText>
      </w:r>
      <w:r>
        <w:fldChar w:fldCharType="separate"/>
      </w:r>
      <w:r>
        <w:rPr>
          <w:rStyle w:val="Hyperlink"/>
        </w:rPr>
        <w:t>Документи</w:t>
      </w:r>
      <w:r>
        <w:tab/>
      </w:r>
      <w:r>
        <w:fldChar w:fldCharType="begin"/>
      </w:r>
      <w:r>
        <w:instrText xml:space="preserve"> PAGEREF _Toc256000525 \h </w:instrText>
      </w:r>
      <w:r>
        <w:fldChar w:fldCharType="separate"/>
      </w:r>
      <w:r>
        <w:t>852</w:t>
      </w:r>
      <w:r>
        <w:fldChar w:fldCharType="end"/>
      </w:r>
      <w:r>
        <w:fldChar w:fldCharType="end"/>
      </w:r>
    </w:p>
    <w:p>
      <w:pPr>
        <w:sectPr>
          <w:pgMar w:top="900" w:right="900" w:bottom="900" w:left="900" w:header="720" w:footer="720"/>
          <w:cols w:space="720"/>
        </w:sectPr>
      </w:pPr>
      <w:r>
        <w:fldChar w:fldCharType="end"/>
      </w:r>
    </w:p>
    <w:p>
      <w:pPr>
        <w:pStyle w:val="Heading1"/>
      </w:pPr>
      <w:bookmarkStart w:id="0" w:name="_Toc256000000"/>
      <w:bookmarkStart w:id="1" w:name="_Toc256000263"/>
      <w:r>
        <w:t>Заглавие на програмата за развитие на селските райони</w:t>
      </w:r>
      <w:bookmarkEnd w:id="1"/>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2" w:name="_Toc256000001"/>
      <w:bookmarkStart w:id="3" w:name="_Toc256000264"/>
      <w:r>
        <w:t>Изменение</w:t>
      </w:r>
      <w:bookmarkEnd w:id="3"/>
      <w:bookmarkEnd w:id="2"/>
    </w:p>
    <w:p>
      <w:pPr>
        <w:pStyle w:val="Heading3"/>
        <w:jc w:val="left"/>
        <w:rPr>
          <w:b w:val="0"/>
        </w:rPr>
      </w:pPr>
      <w:bookmarkStart w:id="4" w:name="_Toc256000002"/>
      <w:bookmarkStart w:id="5" w:name="_Toc256000265"/>
      <w:r>
        <w:rPr>
          <w:b w:val="0"/>
        </w:rPr>
        <w:t>Вид изменение по Регламент (ЕС) № 1305/2013</w:t>
      </w:r>
      <w:bookmarkEnd w:id="5"/>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в. Решение по член 11, буква б)</w:t>
            </w:r>
          </w:p>
        </w:tc>
      </w:tr>
    </w:tbl>
    <w:p>
      <w:pPr>
        <w:pStyle w:val="Heading3"/>
        <w:jc w:val="left"/>
        <w:rPr>
          <w:b w:val="0"/>
        </w:rPr>
      </w:pPr>
      <w:bookmarkStart w:id="6" w:name="_Toc256000003"/>
      <w:bookmarkStart w:id="7" w:name="_Toc256000266"/>
      <w:r>
        <w:rPr>
          <w:b w:val="0"/>
        </w:rPr>
        <w:t>Изменение, с което се внасят промени в информацията, предоставена в споразумението за партньорство</w:t>
      </w:r>
      <w:bookmarkEnd w:id="7"/>
      <w:bookmarkEnd w:id="6"/>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numPr>
                <w:numId w:val="21"/>
              </w:numPr>
              <w:rPr>
                <w:b w:val="0"/>
              </w:rPr>
            </w:pPr>
            <w:r>
              <w:rPr>
                <w:b w:val="0"/>
              </w:rPr>
              <w:t>а. Изменение съгласно член 30, параграф 2 от Регламент (ЕС) № 1303/2013</w:t>
            </w:r>
          </w:p>
        </w:tc>
      </w:tr>
    </w:tbl>
    <w:p>
      <w:pPr>
        <w:pStyle w:val="Heading3"/>
        <w:jc w:val="left"/>
        <w:rPr>
          <w:b w:val="0"/>
        </w:rPr>
      </w:pPr>
      <w:bookmarkStart w:id="8" w:name="_Toc256000004"/>
      <w:bookmarkStart w:id="9" w:name="_Toc256000267"/>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9"/>
      <w:bookmarkEnd w:id="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10" w:name="_Toc256000005"/>
      <w:bookmarkStart w:id="11" w:name="_Toc256000268"/>
      <w:r>
        <w:rPr>
          <w:b w:val="0"/>
        </w:rPr>
        <w:t>Консултации с мониторинговия комитет (член 49, параграф 3 от Регламент (ЕС) № 1303/2013)</w:t>
      </w:r>
      <w:bookmarkEnd w:id="11"/>
      <w:bookmarkEnd w:id="10"/>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11-12-2018</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(КН) на Програмата за развитие на селските райони 2014-2020 г. одобри предложенията за 5 изменение на Програмата за развитие на селските райони (2014-2020) и упълномощи Управляващия орган на Програмата да го изпрати официално (чрез SFC) на Европейската комисия. КН  дава мандат на Управляващия орган да договори окончателния вариант на промените в преговорния процес с Европейската комисия, а именно: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подмярка 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текста на ПРСР, свързани с изготвяне на методика, за определяне на опростени разходи, които ще се прилагат по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 19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1.1 „Професионално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16.1 „Подкрепа за сформиране и функциониране на оперативни групи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 16.4 „Подкрепа за хоризонтално и вертикално сътрудничество между участниците във веригата на доставки“;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-допълнение на Програмата с включване на текст на подмярка 4.3. „Подкрепа за инвестиции в инфраструктура, свързани с развитие, модернизация или адаптиране на земеделската и горска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-отразяване на резултати от преразглеждането на размера на подпомагане по мерки 10 „Агроекология и климат“, 11 „Биологично земеделие“, 12 „Плащания по „Натура 2000“ и Рамковата директива за водите“ след анализ и оценка на промяна в практиките по чл. 43 от Регламент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-представяне на използвана методология при предефиниране на райони с природни ограничения, различни от планинските по мярка 13 „Плащания за райони с природни или други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-изменения в текста на мярка 14 „Хуманно отношение към животните“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-уравняване на финансовия план на ПРСР (2014-2020) по фокус -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 в Глава 11 „План на показателите“ от ПРСР (2014-2020),  свързано с корекция на стойностите на бюджетите на подмерки 19.1, 19.2 и 19.4 на мярка 19 „Водено от общностите местно развитие“.</w:t>
            </w:r>
          </w:p>
          <w:p>
            <w:pPr>
              <w:pStyle w:val="BodyText"/>
              <w:jc w:val="both"/>
              <w:rPr>
                <w:b w:val="0"/>
              </w:rPr>
            </w:pPr>
          </w:p>
        </w:tc>
      </w:tr>
    </w:tbl>
    <w:p>
      <w:pPr>
        <w:pStyle w:val="Heading3"/>
        <w:jc w:val="left"/>
        <w:rPr>
          <w:b w:val="0"/>
        </w:rPr>
      </w:pPr>
      <w:bookmarkStart w:id="12" w:name="_Toc256000006"/>
      <w:bookmarkStart w:id="13" w:name="_Toc256000269"/>
      <w:r>
        <w:rPr>
          <w:b w:val="0"/>
        </w:rPr>
        <w:t>а. Описание на изменението — член 4, параграф 1 от Регламент (ЕС) № 808/2014</w:t>
      </w:r>
      <w:bookmarkEnd w:id="13"/>
      <w:bookmarkEnd w:id="12"/>
    </w:p>
    <w:p>
      <w:pPr>
        <w:pStyle w:val="Heading4"/>
        <w:jc w:val="left"/>
        <w:rPr>
          <w:b w:val="0"/>
        </w:rPr>
      </w:pPr>
      <w:r>
        <w:rPr>
          <w:b w:val="0"/>
        </w:rPr>
        <w:t>Пето изменение на ПРСР 2014-2020</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I. </w:t>
            </w:r>
            <w:r>
              <w:rPr>
                <w:rFonts w:ascii="Times New Roman" w:eastAsia="Times New Roman" w:hAnsi="Times New Roman" w:cs="Times New Roman"/>
                <w:b/>
                <w:bCs/>
                <w:szCs w:val="24"/>
              </w:rPr>
              <w:t>Промяна в подмярка 1.1. „Професионално обучение и придобиване на умения“, подмярка 16.1 „Подкрепа за сформиране и функциониране на оперативни групи в рамките на ЕПИ“ и подмярка 16.4. „Подкрепа за хоризонтално и вертикално сътрудничество между участниците във веригата на доставки“.</w:t>
            </w:r>
          </w:p>
          <w:p>
            <w:pPr>
              <w:numPr>
                <w:ilvl w:val="0"/>
                <w:numId w:val="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1.1. „Професионално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w:t>
            </w:r>
            <w:r>
              <w:rPr>
                <w:rFonts w:ascii="Times New Roman" w:eastAsia="Times New Roman" w:hAnsi="Times New Roman" w:cs="Times New Roman"/>
                <w:b/>
                <w:bCs/>
                <w:szCs w:val="24"/>
              </w:rPr>
              <w:t>Предложението включва отмяна на ваучерите, като инструмент, който се прилага в рамките на подмярка 1.1. „Професионално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Ваучерите са ценни книги с фиксирана номинална стойност в лева, даващи право на притежателя да премине определен вид обучение. За да бъдат издавани ваучери от Министерството на земеделието, храните и горите е необходимо да бъде разработено и прието постановление на Министерския съвет, определящо правно основание за предприемане на такова действие. Процедурата по приемане на този нормативен акт отнема значителен период от време с оглед установените в законодателството срокове. Също така, за издаване на ваучерите се следва процедура по Наредбата за условията и реда за отпечатване и контрол върху ценни книжа, която също води до увеличаване на срока за стартиране на подмярката. Тези процедури ще забавят процеса на прилагане на подмярката, поради което с цел осигуряване на възможност за обявяване на прием в кратък срок,  се предлагат променени в съответните текстове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съгласно чл. 6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прилагането на ваучери е въпрос на избор на страната членка и не е задължителен механизъм.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1.2 Актуализиране на опростените разходи по отделните курсове и семинари подпомагани по подмярка 1.1. „Професионално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Изготвянето и актуализацията на опростените разходи е извършено от екип на Университета за национално и световно стопанство (УНСС) - гр. София по силата на сключен договор. 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Промени в подмярка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16.1. „Подкрепа за сформиране и функциониране на оперативни групи в рамките на ЕПИ“ и подмярка 16.4. „Подкрепа за хоризонтално и вертикално сътрудничество между участниците във веригата на доставки“.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2.1 Намаляване на максималния размер на общите допустими разходи за един проект на една оперативна група в рамките на подмярка 16.1 „Подкрепа за сформиране и функциониране на оперативни групи в рамките на ЕПИ“ до 450 000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предложената промяна са необосновано високия таван на разходите, относително ниския индикатор за брой, подпомогнати оперативни групи, напредналия етап на прилагане на ПРСР 2014-2020 година, респективно наближаващите крайни срокове за изпълнение и разплащане на проектите, както и възможността за подпомагане на по-голям брой проекти, допринасящи за въвеждане на иновативни решения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извършено проучване сред други страни членки прилагащи мярка 16 „Сътрудничество“ и в частност подмярка 16.1 „Подкрепа за сформиране и функциониране на оперативни групи в рамките на ЕПИ“ се налага извода, че максималния размер на допустимите разходи за един проект на една оперативна група, определен от отделните държави членки варира най - често в порядъка между 15 000 и 1 млн. евро. В общо 106 от всички програми за развитие на селските райони, прилагани в страните в ЕС, е предвидена мярка 16 „Сътрудничество“. Средният размер на публичните разходи, разпределени за мярка 16 „Сътрудничество“ за всички страни членки, избрали да прилагат мярката възлиза на 1.8 % от общия бюджет на съответната програма/програми. Общият размер на предвидените средства за мярка 16 в периода 2014-2020 година, възлизат на 2.8 млрд. евро публични разходи. Финансовият ресурс, предвиден за финансиране на проекти, представени от оперативни групи, по подмярка 16.1 „Помощ за сформиране и функционира не оперативни групи по ЕПИ“, като част от мярка 16, възлиза на 587 млн. евро, като подмярката е включена в общо 96 програми за развитие на селските райони на 26 страни членки.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2014-2020 г. за мярка 16 „Сътрудничество“ са предвидени средства в размер на общо 32 573 723 евро публични разходи, от които 29 316 351 евро осигурени от ЕЗФРСР и 3 257 372 евро национални средства, представляващи 1.1 % от бюджета на Програмата. Съгласно разпределението на финансовите средства по мерки/подмерки и фокус области, размерът на финансовите средства, които биха могли да бъдат разходвани чрез подмярка 16.1 от бюджета на мярка 16, възлизат на 23 018 169 евро. Общо 20 е броят на оперативни групи, които са предвидени да получат финансиране по подмярка 16.1 в рамките на ПРСР 2014-2020 г. съгласно индикаторния план на Програмата. За сравнение, средният брой на оперативните групи, предвидени за подпомагане по подмярка 16.1 възлиза на 133 оперативни групи/страна, отчитайки факта, че отделните страни прилагат повече от една програма във връзка с чл. 6, ал. 2 от Регламент (ЕС)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тази връзка, стремежът, чрез предложеното намаляване на тавана, е чрез разходване на по-малък финансов ресурс да се подпомогнат повече на брой иновативни проекти, допринасящи за постигане на заложените цели. Управляващият орган счита, че намаляването на максималния размер на допустимите разходи за един проект на една оперативна група от 1 млн. евро на 450 000 евро няма да окаже негативен ефект по отношение на изпълнението на целите, заложени в подмярката. Въз основа на промяната ще се предостави възможност по-голям брой оперативни групи да се възползват от подпомагане за реализация на иновативни проекти, резултатите от които да бъдат разпространени, чрез мреж ите на ЕПИ.</w:t>
            </w:r>
          </w:p>
          <w:p>
            <w:pPr>
              <w:spacing w:before="240" w:after="240"/>
              <w:ind w:left="810"/>
              <w:jc w:val="left"/>
              <w:rPr>
                <w:rFonts w:ascii="Times New Roman" w:eastAsia="Times New Roman" w:hAnsi="Times New Roman" w:cs="Times New Roman"/>
                <w:szCs w:val="24"/>
              </w:rPr>
            </w:pPr>
            <w:r>
              <w:rPr>
                <w:rFonts w:ascii="Times New Roman" w:eastAsia="Times New Roman" w:hAnsi="Times New Roman" w:cs="Times New Roman"/>
                <w:b/>
                <w:bCs/>
                <w:szCs w:val="24"/>
              </w:rPr>
              <w:t>2.2.  Актуализиране на опростените разходи по подмярка 16.1. „Подкрепа за сформиране и функциониране на оперативни групи в рамките на ЕПИ“ и подмярка 16.4. „Подкрепа за хоризонтално и вертикално сътрудничество между участниците във веригата на доставки“.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Изготвянето и актуализацията на опростените разходи е извършено от екип на Университета за национално и световно стопанство (УНСС) – гр. София по силата на сключен договор. 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Промяна в приложение № 17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е свързана с актуализацията на методиката за изчисление на опростените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Включване и прилагане на подмярка 4.3 „Подкрепа за инвестиции в инфраструктура, свързани с развитие, модернизация или адаптиране на земеделската и горска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своята Програма за стабилно развитие на Република България за периода 2014-2018 г., Правителството залага и приоритети, свързани с развитието на сектора на поливното земеделие. Програмата маркира пътя към Европейския модел на земеделие като определя няколко общи основни принципа: конкурентоспособност, устойчивост, мултифункционалност и приложимост. Освен това Европейският модел, поставя поливното земеделие в контекста на адаптирането към климатичните изменения, за което допринася и насочеността на инвестиционните разходи по подмярка 4.3 „Инвестиции за развитие, модернизация или адаптиране на земеделската и горска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хидромелиорационна инфраструктура е остаряла и голяма част от нея е в лошо състояние. Употребата ѝ е неефективна поради високата консумация на енергия и значителни загуби на вода, които от своя страна, увеличават разходите за напояване. Като основна цел за прилагане на подмярка 4.3 „Инвестиции за развитие, модернизация или адаптиране на земеделската и горска инфраструктура“ е възстановяване на ефективен и ефикасен хидромелиоративен сектор за икономически жизнеспособно, конкурентно земеделие, устойчиво на въздействията от изменението на климата и осигуряващо защита от вредното въздействие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прилагане на подмярка 4.3 УО има за цел инвестициите във водоразпределителната мрежа, да бъдат съсредоточени върху възстановяването и модернизацията на съществуващата инфраструктура по начин, който съчетава по-систематичен подход при пренос, разпределение и доставка на водата. Водещ принцип при подпомагане на развитието на напоителната инфраструктура ще бъде разбирането, че инвестициите трябва да се насочват в подобряване на съществуващи инсталации, елементи от инфраструктурата и техники, съответстващи на земеползването и заобикалящата водна среда. Инвестиционната подкрепа не би довела до изкривяване на конкуренцията и би била пазарно неутрална.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II</w:t>
            </w:r>
            <w:r>
              <w:rPr>
                <w:rFonts w:ascii="Times New Roman" w:eastAsia="Times New Roman" w:hAnsi="Times New Roman" w:cs="Times New Roman"/>
                <w:b/>
                <w:bCs/>
                <w:szCs w:val="24"/>
              </w:rPr>
              <w:t>.        Изменение в мерки 10 „Агроекология и климат“, 11 „Биологично земеделие“, 12 „Плащания за Натура 2000 и Рамкова директива за водите</w:t>
            </w:r>
            <w:r>
              <w:rPr>
                <w:rFonts w:ascii="Times New Roman" w:eastAsia="Times New Roman" w:hAnsi="Times New Roman" w:cs="Times New Roman"/>
                <w:b/>
                <w:bCs/>
                <w:szCs w:val="24"/>
              </w:rPr>
              <w:t>”</w:t>
            </w:r>
            <w:r>
              <w:rPr>
                <w:rFonts w:ascii="Times New Roman" w:eastAsia="Times New Roman" w:hAnsi="Times New Roman" w:cs="Times New Roman"/>
                <w:b/>
                <w:bCs/>
                <w:szCs w:val="24"/>
              </w:rPr>
              <w:t>, 13 „Плащания за райони, изправени пред природни или други специфични ограничения“ и 14 „Хуманно отношение към животните“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01.01.2018 г. са в сила изменения в изискванията към практиките по чл. 43 от Регламент (ЕС) 1307/2013, финансирани по Първи стълб, в това число и забрана за употребата на продукти за растителна защита върху всички екологично насочени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(•земя, оставена под угар;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с междинни култури или зелена покривка;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с култури, които обогатяват почвата с азот.)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изискванията на Регламент 1305/2013 към държавите членки при изчисляване на плащането по мярка 10 „Агроекология и климат“, мярка 11 „Биологично земеделие“ и мярка 12 „Плащания по Натура 2000“ да приспадат сумата, необходима за изключване на двойно финансиране на практиките, посочени в член 43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извършената оценка и анализ на необходимостта от преразглеждане на нивата на подпомагане за дейностите, финансирани по мярка 10 „Агроекология и климат“, мярка 11 „Биологично земеделие“ и мярка 12 „Плащания по Натура 2000 и Рамковата директива за водите“ от ПРСР 2014-2020 се установява, че с цел избягване на двойното финансиране е налице необходимост от изменения в размера на финансовото подпомагане за операции от тези мерки. При извършване на преизчисленията е отчетена и възможността преразглеждането да включва изчисляване на подлежащата на приспадане фиксирана средна сума, приложима към всички заинтересовани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мярка 10 „Агроекология и климат“ – експертният анализ и оценка показа необходимостта от преразглеждане в размера на финансовото подпомагане по отношение на следните операции (дейности):</w:t>
            </w:r>
          </w:p>
          <w:p>
            <w:pPr>
              <w:numPr>
                <w:ilvl w:val="0"/>
                <w:numId w:val="2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или Египетски лешояд, в постоянно затревени площи дейност част от направление „Поддържане на местообитанията на защитени видове в обработваеми земи с орнитологично значение“;</w:t>
            </w:r>
          </w:p>
          <w:p>
            <w:pPr>
              <w:numPr>
                <w:ilvl w:val="0"/>
                <w:numId w:val="2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земеделски земи в постоянно затревени площи и за създаване и поддържане на буферни ивици, дейности част от направление „Контрол на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Изменения в подпомагането се налагат и за групата на полските култури от направление „Опазване на застрашени от изчезване местни сортове, важни за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Измененията в нивата на подпомагане се прилагат за заявени площи след 01.01.2018 г. и по вече изпълнявани ангажименти, като новият размер на подпомагане е отразени в секции 8.2.8.3.2.8, 8.2.8.3.3.8 и 8.2.8.3.6.8 „</w:t>
            </w:r>
            <w:r>
              <w:rPr>
                <w:rFonts w:ascii="Times New Roman" w:eastAsia="Times New Roman" w:hAnsi="Times New Roman" w:cs="Times New Roman"/>
                <w:i/>
                <w:iCs/>
                <w:szCs w:val="24"/>
              </w:rPr>
              <w:t>Приложими суми и проценти на предоставяната подкрепа“</w:t>
            </w:r>
            <w:r>
              <w:rPr>
                <w:rFonts w:ascii="Times New Roman" w:eastAsia="Times New Roman" w:hAnsi="Times New Roman" w:cs="Times New Roman"/>
                <w:szCs w:val="24"/>
              </w:rPr>
              <w:t xml:space="preserve"> към отделните направления:</w:t>
            </w:r>
          </w:p>
          <w:p>
            <w:pPr>
              <w:numPr>
                <w:ilvl w:val="0"/>
                <w:numId w:val="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„Превръщане на обработваеми земи, които са местообитания на Царски орел или Египетски лешояд, в постоянно затревени площи – 247 евро/ха;</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„Превръщане на обработваеми земеделски земи в постоянно затревени площи“ - 266 евро/ха;</w:t>
            </w:r>
          </w:p>
          <w:p>
            <w:pPr>
              <w:numPr>
                <w:ilvl w:val="0"/>
                <w:numId w:val="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„Създаване и поддържане на буферни ивици“ – 36 евро/ха;</w:t>
            </w:r>
          </w:p>
          <w:p>
            <w:pPr>
              <w:numPr>
                <w:ilvl w:val="0"/>
                <w:numId w:val="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групата на полските култури от направление „Опазване на застрашени от изчезване местни сортове“ – 221.39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секция 8.2.8.5 „Специфична информация за мярката към методологията за определяне на компенсаторните плащания по мярка 10 „Агроекология и климат“ се добавя текст, който аргументира промените в ставките на горецитираните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мярка 11 ‚Биологично земеделие“ в секция 8.2.9.3.1.1 Описание на вида операция  се добавя следния текст: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мярка 11 „Биологично земеделие“ резултатите от експертния анализ показват необходимост от преразглеждане размера на годишното подпомагане за полските култури, включително фуражните. Измененията в нивата на подпомагане се прилагат за заявени площи след 01.01.2018 г. и по вече изпълнявани ангажименти, като новият размер на подпомагане е отразени в секции 8.2.9.3.1.8 и 8.2.9.3.2.8 „</w:t>
            </w:r>
            <w:r>
              <w:rPr>
                <w:rFonts w:ascii="Times New Roman" w:eastAsia="Times New Roman" w:hAnsi="Times New Roman" w:cs="Times New Roman"/>
                <w:i/>
                <w:iCs/>
                <w:szCs w:val="24"/>
              </w:rPr>
              <w:t>Приложими суми и проценти на предоставяната подкрепа“</w:t>
            </w:r>
            <w:r>
              <w:rPr>
                <w:rFonts w:ascii="Times New Roman" w:eastAsia="Times New Roman" w:hAnsi="Times New Roman" w:cs="Times New Roman"/>
                <w:szCs w:val="24"/>
              </w:rPr>
              <w:t xml:space="preserve"> към отделните направления:</w:t>
            </w:r>
          </w:p>
          <w:p>
            <w:pPr>
              <w:numPr>
                <w:ilvl w:val="0"/>
                <w:numId w:val="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полски култури, включително фуражни </w:t>
            </w:r>
            <w:r>
              <w:rPr>
                <w:rFonts w:ascii="Times New Roman" w:eastAsia="Times New Roman" w:hAnsi="Times New Roman" w:cs="Times New Roman"/>
                <w:b/>
                <w:bCs/>
                <w:szCs w:val="24"/>
              </w:rPr>
              <w:t>в преход</w:t>
            </w:r>
            <w:r>
              <w:rPr>
                <w:rFonts w:ascii="Times New Roman" w:eastAsia="Times New Roman" w:hAnsi="Times New Roman" w:cs="Times New Roman"/>
                <w:szCs w:val="24"/>
              </w:rPr>
              <w:t xml:space="preserve"> - 282 евро/ха;</w:t>
            </w:r>
          </w:p>
          <w:p>
            <w:pPr>
              <w:numPr>
                <w:ilvl w:val="0"/>
                <w:numId w:val="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полски култури, включително фуражни </w:t>
            </w:r>
            <w:r>
              <w:rPr>
                <w:rFonts w:ascii="Times New Roman" w:eastAsia="Times New Roman" w:hAnsi="Times New Roman" w:cs="Times New Roman"/>
                <w:b/>
                <w:bCs/>
                <w:szCs w:val="24"/>
              </w:rPr>
              <w:t>биологични –</w:t>
            </w:r>
            <w:r>
              <w:rPr>
                <w:rFonts w:ascii="Times New Roman" w:eastAsia="Times New Roman" w:hAnsi="Times New Roman" w:cs="Times New Roman"/>
                <w:szCs w:val="24"/>
              </w:rPr>
              <w:t xml:space="preserve"> 166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В секции 8.2.9.3.1.3 и 8.2.9.3.2.3 </w:t>
            </w:r>
            <w:r>
              <w:rPr>
                <w:rFonts w:ascii="Times New Roman" w:eastAsia="Times New Roman" w:hAnsi="Times New Roman" w:cs="Times New Roman"/>
                <w:i/>
                <w:iCs/>
                <w:szCs w:val="24"/>
              </w:rPr>
              <w:t>„Връзка с друго законодателство“</w:t>
            </w:r>
            <w:r>
              <w:rPr>
                <w:rFonts w:ascii="Times New Roman" w:eastAsia="Times New Roman" w:hAnsi="Times New Roman" w:cs="Times New Roman"/>
                <w:szCs w:val="24"/>
              </w:rPr>
              <w:t xml:space="preserve"> след думите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се добавя следния текст „(отм. 12.11.2018г.)“ и се добавя непосредствено след това на нов ред: „Наредба № 5 от З септември 2018 г.  за прилагане на правилата за биологично производство, етикетиране и контрол, и за издаване на разрешение за контролна дейност за спазване на правилата на биологично производство, като се допълват препратките по отношение на преходните периоди в България“ (в сила от 12.11.2018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Оценката на измененията в практиките по чл. 43 от Регламент (ЕС) № 1307/2013 не показва необходимост от промени в размера на подпомагане за останалите групи култури от мярката. В методологията за изчисляване на компенсаторните плащания. Част от  секция 8.2.9.5 </w:t>
            </w:r>
            <w:r>
              <w:rPr>
                <w:rFonts w:ascii="Times New Roman" w:eastAsia="Times New Roman" w:hAnsi="Times New Roman" w:cs="Times New Roman"/>
                <w:i/>
                <w:iCs/>
                <w:szCs w:val="24"/>
              </w:rPr>
              <w:t>„Специфична информация за мярката“</w:t>
            </w:r>
            <w:r>
              <w:rPr>
                <w:rFonts w:ascii="Times New Roman" w:eastAsia="Times New Roman" w:hAnsi="Times New Roman" w:cs="Times New Roman"/>
                <w:szCs w:val="24"/>
              </w:rPr>
              <w:t xml:space="preserve"> се включва текст аналогичен на текстът в същата секция на мярка 10 „Агроекология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Измененията на практиките по чл. 43 от Регламент (ЕС) № 1307 /2013 г. в сила от началото на 2018 г. са анализирани и по отношение на размера на подпомагане по мярка 12 „Плащания по Натура 2000 и Рамковата директива за водите“. Резултатът от оценката за избягване на двойно финансиране показва необходимост от прилагане на средно намаление на компенсаторното плащане за всички зони в частта обработваеми земи в размер на </w:t>
            </w:r>
            <w:r>
              <w:rPr>
                <w:rFonts w:ascii="Times New Roman" w:eastAsia="Times New Roman" w:hAnsi="Times New Roman" w:cs="Times New Roman"/>
                <w:b/>
                <w:bCs/>
                <w:szCs w:val="24"/>
              </w:rPr>
              <w:t>2 евро/ха,</w:t>
            </w:r>
            <w:r>
              <w:rPr>
                <w:rFonts w:ascii="Times New Roman" w:eastAsia="Times New Roman" w:hAnsi="Times New Roman" w:cs="Times New Roman"/>
                <w:szCs w:val="24"/>
              </w:rPr>
              <w:t xml:space="preserve"> предвид факта, че промените в практиките по I-ви Стълб засягат обработваемите земи. В останалите групи – постоянно затревени площи и трайни насаждения оценката не налага корекции и промени в настоящите нива на подпомагане. В тази връзка в секции 8.2.10.3.1.8 </w:t>
            </w:r>
            <w:r>
              <w:rPr>
                <w:rFonts w:ascii="Times New Roman" w:eastAsia="Times New Roman" w:hAnsi="Times New Roman" w:cs="Times New Roman"/>
                <w:i/>
                <w:iCs/>
                <w:szCs w:val="24"/>
              </w:rPr>
              <w:t>„Приложими суми и проценти на предоставяната подкрепа“</w:t>
            </w:r>
            <w:r>
              <w:rPr>
                <w:rFonts w:ascii="Times New Roman" w:eastAsia="Times New Roman" w:hAnsi="Times New Roman" w:cs="Times New Roman"/>
                <w:szCs w:val="24"/>
              </w:rPr>
              <w:t xml:space="preserve"> и 8.2.10.3.1.10 </w:t>
            </w:r>
            <w:r>
              <w:rPr>
                <w:rFonts w:ascii="Times New Roman" w:eastAsia="Times New Roman" w:hAnsi="Times New Roman" w:cs="Times New Roman"/>
                <w:i/>
                <w:iCs/>
                <w:szCs w:val="24"/>
              </w:rPr>
              <w:t>„</w:t>
            </w:r>
            <w:r>
              <w:rPr>
                <w:rFonts w:ascii="Times New Roman" w:eastAsia="Times New Roman" w:hAnsi="Times New Roman" w:cs="Times New Roman"/>
                <w:i/>
                <w:iCs/>
                <w:szCs w:val="24"/>
              </w:rPr>
              <w:t>Специфична информация за операцията</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и 8.2.10.5.„</w:t>
            </w:r>
            <w:r>
              <w:rPr>
                <w:rFonts w:ascii="Times New Roman" w:eastAsia="Times New Roman" w:hAnsi="Times New Roman" w:cs="Times New Roman"/>
                <w:i/>
                <w:iCs/>
                <w:szCs w:val="24"/>
              </w:rPr>
              <w:t>Специфична информация за мярката</w:t>
            </w:r>
            <w:r>
              <w:rPr>
                <w:rFonts w:ascii="Times New Roman" w:eastAsia="Times New Roman" w:hAnsi="Times New Roman" w:cs="Times New Roman"/>
                <w:szCs w:val="24"/>
              </w:rPr>
              <w:t>“, в частта, описваща методологията на изчисленията на финансовото подпомагане по мярка 12, са нанесени допълнения в текста. Тези допълнения към използваната методология отразяват изчисления среден размер от 2 евро, приложим към всички обработваеми площи, който обхваща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продукти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Във връзка с предстоящото приключване на предефинирането на районите с природни ограничения, различни от планинските, съгласно чл. 32 от Регламент (ЕС) № 1305/2013, в мярка 13. „Плащания за райони, изправени пред природни или други специфични ограничения" се правят изменения в секция 8.2.11.7. </w:t>
            </w:r>
            <w:r>
              <w:rPr>
                <w:rFonts w:ascii="Times New Roman" w:eastAsia="Times New Roman" w:hAnsi="Times New Roman" w:cs="Times New Roman"/>
                <w:i/>
                <w:iCs/>
                <w:szCs w:val="24"/>
              </w:rPr>
              <w:t xml:space="preserve">„Друга важна информация, необходима за по-доброто разбиране и прилагане на мярката“, </w:t>
            </w:r>
            <w:r>
              <w:rPr>
                <w:rFonts w:ascii="Times New Roman" w:eastAsia="Times New Roman" w:hAnsi="Times New Roman" w:cs="Times New Roman"/>
                <w:szCs w:val="24"/>
              </w:rPr>
              <w:t>като се добавя текст относно предвидената преходна помощ за кандидатите през 2019 г. в съответствие с чл. 31, пар. 5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Измененията в мярка 14 „Хуманно отношение към животните“ касаят  продължителността на ангажиментите. Изменението е продиктувано от предвидената възможност в чл. 33, параграф 2 на Регламент (ЕС) № 1305/2013, съгласно която ангажиментите по мярката могат да се изпълняват за период от 1 до 7 години. В подкрепа на изменението са и текущите изисквания по мярката, които определят изпълнение на ангажимента на годишна база, като се изменя секция 8.2.12.2 </w:t>
            </w:r>
            <w:r>
              <w:rPr>
                <w:rFonts w:ascii="Times New Roman" w:eastAsia="Times New Roman" w:hAnsi="Times New Roman" w:cs="Times New Roman"/>
                <w:i/>
                <w:iCs/>
                <w:szCs w:val="24"/>
              </w:rPr>
              <w:t>„Общо описание на мярката“</w:t>
            </w:r>
            <w:r>
              <w:rPr>
                <w:rFonts w:ascii="Times New Roman" w:eastAsia="Times New Roman" w:hAnsi="Times New Roman" w:cs="Times New Roman"/>
                <w:szCs w:val="24"/>
              </w:rPr>
              <w:t xml:space="preserve"> като бъде коригиран текста в посока ангажименти, изпълнявани на годишна база, т.е. едногодишни ангажименти.  Другото изменение в тази секция и в секции 8.2.12.3.1.2 и 8.2.12.3.2.2</w:t>
            </w:r>
            <w:r>
              <w:rPr>
                <w:rFonts w:ascii="Times New Roman" w:eastAsia="Times New Roman" w:hAnsi="Times New Roman" w:cs="Times New Roman"/>
                <w:i/>
                <w:iCs/>
                <w:szCs w:val="24"/>
              </w:rPr>
              <w:t xml:space="preserve">  „Вид подкрепа“ </w:t>
            </w:r>
            <w:r>
              <w:rPr>
                <w:rFonts w:ascii="Times New Roman" w:eastAsia="Times New Roman" w:hAnsi="Times New Roman" w:cs="Times New Roman"/>
                <w:szCs w:val="24"/>
              </w:rPr>
              <w:t>е свързано с прецизиране на текстовете на мярката. Част от тях касаят изискванията при изпълнение на дейността за свободно отглеждане на открито. Измененията касаят текстът свързан с възможността изискването за 160 дни свободно отглеждане на открито да бъде изпълнявано с не по-малко от 120 дни за свободно пашуване, като 40 дни могат да бъдат в двор. По този начин ще бъдат осигурени условия за по-дълъг престой на животните в естествена среда. Изменения в посока прецизиране на текстовете за свободно отглеждане на открито са включени в двете под-мерки – за ЕПЖ и за ДПЖ.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изискванията към кандидатите, се правят изменения на текстовете в секции 8.2.12.3.1.6 и  8.2.12.3.2.6</w:t>
            </w:r>
            <w:r>
              <w:rPr>
                <w:rFonts w:ascii="Times New Roman" w:eastAsia="Times New Roman" w:hAnsi="Times New Roman" w:cs="Times New Roman"/>
                <w:i/>
                <w:iCs/>
                <w:szCs w:val="24"/>
              </w:rPr>
              <w:t xml:space="preserve"> „Условия за допустимост“,</w:t>
            </w:r>
            <w:r>
              <w:rPr>
                <w:rFonts w:ascii="Times New Roman" w:eastAsia="Times New Roman" w:hAnsi="Times New Roman" w:cs="Times New Roman"/>
                <w:szCs w:val="24"/>
              </w:rPr>
              <w:t xml:space="preserve"> които са свързани както с изпълнението на ангажимента за срок от една година, така и с поясняване на условията за отпускане на помощта – т.е. помощта покрива изпълнявани задължения/ангажименти на ниво животновъден обект, които надвишават приложимите за съответния обект задължителни базови стандарти и други изисквания. Уточняване по отношение на изпълняваните задължения по мярката за срок от една година, както и на ниво животновъден обект са включени както за сектор ЕПЖ, така и за ДПЖ.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секции 8.2.12.3.1.10  и 8.2.12.3.2.10 </w:t>
            </w:r>
            <w:r>
              <w:rPr>
                <w:rFonts w:ascii="Times New Roman" w:eastAsia="Times New Roman" w:hAnsi="Times New Roman" w:cs="Times New Roman"/>
                <w:i/>
                <w:iCs/>
                <w:szCs w:val="24"/>
              </w:rPr>
              <w:t>„Специфична информация за операцията“</w:t>
            </w:r>
            <w:r>
              <w:rPr>
                <w:rFonts w:ascii="Times New Roman" w:eastAsia="Times New Roman" w:hAnsi="Times New Roman" w:cs="Times New Roman"/>
                <w:szCs w:val="24"/>
              </w:rPr>
              <w:t xml:space="preserve"> както за под-мярка 14.1. „Плащания за хуманно отношение към животни в сектор ЕПЖ“, така и за под-мярка 14.2 „Плащания за хуманно отношение към животни в сектор ДПЖ“ се синхронизират прилаганите базови изисквания с изискванията да се ограничи замърсяването на почвите и водите с оборски тор, като изискването е част от националното законодателство. Измененията по двете под-мерки са свързани с изискване стопаните, които заявяват подпомагане за свободно отглеждане на открито да поддържат гъстота на ЖЕ на цялата пасищна площ на стопанството, ползвана от кандидата, на която се извършва паша до 2 ЖЕ/ха.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Промените в секция 8.2.12.4.2 </w:t>
            </w:r>
            <w:r>
              <w:rPr>
                <w:rFonts w:ascii="Times New Roman" w:eastAsia="Times New Roman" w:hAnsi="Times New Roman" w:cs="Times New Roman"/>
                <w:i/>
                <w:iCs/>
                <w:szCs w:val="24"/>
              </w:rPr>
              <w:t>„Действия за смекчаване на последиците“</w:t>
            </w:r>
            <w:r>
              <w:rPr>
                <w:rFonts w:ascii="Times New Roman" w:eastAsia="Times New Roman" w:hAnsi="Times New Roman" w:cs="Times New Roman"/>
                <w:szCs w:val="24"/>
              </w:rPr>
              <w:t xml:space="preserve"> целят да се унифицират изискванията към дневника с регистрите за животни, които нощуват извън постоянния обект, така и да се облекчат самите земеделски стопанин при воденето на този дневник, като той се заверява от регистрирания ветеринарен лекар в началото и в края на периода на извеждане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представя ветеринарномедицински дневник, в който се вписват дните и часовете на извеждане за свободно отглеждане. Кандидатът предоставя разрешително за паша на отглежданите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III. </w:t>
            </w:r>
            <w:r>
              <w:rPr>
                <w:rFonts w:ascii="Times New Roman" w:eastAsia="Times New Roman" w:hAnsi="Times New Roman" w:cs="Times New Roman"/>
                <w:b/>
                <w:bCs/>
                <w:szCs w:val="24"/>
              </w:rPr>
              <w:t>Изменение в глава 11 „План на показателите“ от ПРСР 2014-2020,  свързано с фокус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Описание на предложените промени.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2014 – 2020 г. предлага промяна в текста на точка 11.1.6.2. 6Б) „Стимулиране на местното развитие в селските райони“ на Програмата за развитие на селските райони 2014 – 2020 г., необходима поради промяна на планираното договаряне по подмерките на мярка 19 Водено от общностите местно развитие. Промяната е наложена от факта, че от подмярка 19.1 „Помощ за подготвителни дейности” са използвани средства в размер на 2 000 000 евро за договаряне на една допълнителна стратегия по втория прием за стратегии (открит в периода 30.06 – 31.08.2017 г.) за ВОМР по подмярка 19.2 „Прилагане на операции в рамките на стратегии за водено от общностите местно развитие“ и подмярка 19.4 „Текущите разходи и популяризиране на стратегията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Предлаганата промяна се състои в корекция на стойностите на бюджетите на подмерки 19.1, 19.2 и 19.4 на мярка 19 в таблица „Планиран(и) показател(и) за изпълнението 2014—2020 г.“ от посочената по горе част на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Мотиви</w:t>
            </w:r>
            <w:r>
              <w:rPr>
                <w:rFonts w:ascii="Times New Roman" w:eastAsia="Times New Roman" w:hAnsi="Times New Roman" w:cs="Times New Roman"/>
                <w:b/>
                <w:bCs/>
                <w:szCs w:val="24"/>
              </w:rPr>
              <w:t xml:space="preserve"> за предложените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края на 2017 г. УО на ПРСР предприе действия предварително одобрения бюджет от ПРСР за подмерки 19.2 и 19.4 да бъде увеличен със средства от подмярка 19.1. Това е извършено със Заповед № РД 09-987/28.12.2017 г. на Ръководителя на Управляващия орган на ПРСР, като по този начин се осигурява възможност за финансирането на една допълнителна стратегия за ВОМР по втория прием по подмярка 19.2. Основанието за извършване на промяната е високият обществен интерес от прилагането на подхода ВОМР и финансирането на по-голям брой висококачествени стратегии, в т. ч. и разширяване на територията на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подмярка 19.1 „Помощ за подготвителни дейности“ в ПРСР 2014 – 2020 г. е в размер на 4 766 442,20 евро или 9 322 207,65 лева. Съгласно информация от Държавен фонд „Земеделие“ по подмярката са изпълнени 100 проекта, като към 28.12.2017 г. на бенефициентите са изплатени 3 472 475,82 лв., като допълнително е предстояло да се изплатят 598 254,49 лв. Общата сума на средствата, които са необходими за възстановяване на извършените от бенефициентите разходи по подмярката са в размер на 4 070 730,31 лева. Предвид разполагаемият бюджет съгласно ПРСР 2014 – 2020 г. по подмярката към 28.12.2017 г. остават средства в размер на 5 251 477,34 лева. Тъй като основните дейности по подмярката – подготовка и изготвяне на стратегии за ВОМР, вече са изпълнени е обосновано прехвърлянето на средства в размер на 2 933 700 лева, достатъчни за осигуряване на финансиране по ПРСР на една стратегия по ВОМР по подмярка 19.2 и средства в размер на 977 900 лева, достатъчни за осигуряване на финансиране по ПРСР на една стратегия по ВОМР по подмярка 19.4 на ПРСР 2014 – 2020 г. След прехвърлянето на средства в общ размер на 3 911 600 лева (2 000 000 евро) от подмярка 19.1 в подмярка 19.2 и подмярка 19.4 за изпълнение на пилотни проекти по подмярка 19.1 ще има наличен финансов ресурс в размер на 1 293 071,59 лева, което би било достатъчно за одобрението на най-малко 44 проекта (имайки предвид, че максималният размер на финансирането на един проект е до левовата равностойност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Предложение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Промяна в текста на мярка 19 ВОМР на ПРСР 2014 – 2020 г.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В таблица „Планиран(и) показател(и) за изпълнението 2014—2020 г.“ на точка 11.1.6.2. 6Б) „Стимулиране на местното развитие в селските райони“ на Програмата за развитие на селските райони 2014 – 2020 г. Редовете ( в евро публични средства):</w:t>
            </w:r>
          </w:p>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4067"/>
              <w:gridCol w:w="4067"/>
              <w:gridCol w:w="203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M19 — Подкрепа за местно развитие по LEADER (ВОМР — водено от общностите местно развитие) (член 35 от Регламент (ЕС) № 1303/2013)</w:t>
                  </w:r>
                </w:p>
              </w:tc>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 публични разходи (в евро) — подготвителна помощ (19.1)</w:t>
                  </w:r>
                </w:p>
              </w:tc>
              <w:tc>
                <w:tcPr>
                  <w:tcW w:w="1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4 766 442,20</w:t>
                  </w:r>
                </w:p>
              </w:tc>
            </w:tr>
            <w:tr>
              <w:tblPrEx>
                <w:tblW w:w="5000" w:type="pct"/>
                <w:tblCellSpacing w:w="0" w:type="dxa"/>
                <w:tblCellMar>
                  <w:top w:w="0" w:type="dxa"/>
                  <w:left w:w="0" w:type="dxa"/>
                  <w:bottom w:w="0" w:type="dxa"/>
                  <w:right w:w="0" w:type="dxa"/>
                </w:tblCellMar>
              </w:tblPrEx>
              <w:trPr>
                <w:tblCellSpacing w:w="0" w:type="dxa"/>
              </w:trPr>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M19 — Подкрепа за местно развитие по LEADER (ВОМР — водено от общностите местно развитие) (член 35 от Регламент (ЕС) № 1303/2013)</w:t>
                  </w:r>
                </w:p>
              </w:tc>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 публични разходи (в евро) — подкрепа за изпълнение на операциите по водена от общностите стратегия за местно развитие (19.2)</w:t>
                  </w:r>
                </w:p>
              </w:tc>
              <w:tc>
                <w:tcPr>
                  <w:tcW w:w="1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90 163 875,60</w:t>
                  </w:r>
                </w:p>
              </w:tc>
            </w:tr>
            <w:tr>
              <w:tblPrEx>
                <w:tblW w:w="5000" w:type="pct"/>
                <w:tblCellSpacing w:w="0" w:type="dxa"/>
                <w:tblCellMar>
                  <w:top w:w="0" w:type="dxa"/>
                  <w:left w:w="0" w:type="dxa"/>
                  <w:bottom w:w="0" w:type="dxa"/>
                  <w:right w:w="0" w:type="dxa"/>
                </w:tblCellMar>
              </w:tblPrEx>
              <w:trPr>
                <w:tblCellSpacing w:w="0" w:type="dxa"/>
              </w:trPr>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M19 — Подкрепа за местно развитие по LEADER (ВОМР — водено от общностите местно развитие) (член 35 от Регламент (ЕС) № 1303/2013)</w:t>
                  </w:r>
                </w:p>
              </w:tc>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 публични разходи (в евро) — подготовка и изпълнение на дейности за сътрудничество на местната група за действие (19.3)</w:t>
                  </w:r>
                </w:p>
              </w:tc>
              <w:tc>
                <w:tcPr>
                  <w:tcW w:w="1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6 500 000,00</w:t>
                  </w:r>
                </w:p>
              </w:tc>
            </w:tr>
            <w:tr>
              <w:tblPrEx>
                <w:tblW w:w="5000" w:type="pct"/>
                <w:tblCellSpacing w:w="0" w:type="dxa"/>
                <w:tblCellMar>
                  <w:top w:w="0" w:type="dxa"/>
                  <w:left w:w="0" w:type="dxa"/>
                  <w:bottom w:w="0" w:type="dxa"/>
                  <w:right w:w="0" w:type="dxa"/>
                </w:tblCellMar>
              </w:tblPrEx>
              <w:trPr>
                <w:tblCellSpacing w:w="0" w:type="dxa"/>
              </w:trPr>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M19 — Подкрепа за местно развитие по LEADER (ВОМР — водено от общностите местно развитие) (член 35 от Регламент (ЕС) № 1303/2013)</w:t>
                  </w:r>
                </w:p>
              </w:tc>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 публични разходи (в евро) — подкрепа за текущи разходи и разходи за стимулиране на интерес (19.4)</w:t>
                  </w:r>
                </w:p>
              </w:tc>
              <w:tc>
                <w:tcPr>
                  <w:tcW w:w="1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30 053 958,90</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 заменят със следните редове:</w:t>
            </w:r>
          </w:p>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4067"/>
              <w:gridCol w:w="4067"/>
              <w:gridCol w:w="203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M19 — Подкрепа за местно развитие по LEADER (ВОМР — водено от общностите местно развитие) (член 35 от Регламент (ЕС) № 1303/2013)</w:t>
                  </w:r>
                </w:p>
              </w:tc>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 публични разходи (в евро) — подготвителна помощ (19.1)</w:t>
                  </w:r>
                </w:p>
              </w:tc>
              <w:tc>
                <w:tcPr>
                  <w:tcW w:w="1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2 766 442</w:t>
                  </w:r>
                </w:p>
              </w:tc>
            </w:tr>
            <w:tr>
              <w:tblPrEx>
                <w:tblW w:w="5000" w:type="pct"/>
                <w:tblCellSpacing w:w="0" w:type="dxa"/>
                <w:tblCellMar>
                  <w:top w:w="0" w:type="dxa"/>
                  <w:left w:w="0" w:type="dxa"/>
                  <w:bottom w:w="0" w:type="dxa"/>
                  <w:right w:w="0" w:type="dxa"/>
                </w:tblCellMar>
              </w:tblPrEx>
              <w:trPr>
                <w:tblCellSpacing w:w="0" w:type="dxa"/>
              </w:trPr>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M19 — Подкрепа за местно развитие по LEADER (ВОМР — водено от общностите местно развитие) (член 35 от Регламент (ЕС) № 1303/2013)</w:t>
                  </w:r>
                </w:p>
              </w:tc>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 публични разходи (в евро) — подкрепа за изпълнение на операциите по водена от общностите стратегия за местно развитие (19.2)</w:t>
                  </w:r>
                </w:p>
              </w:tc>
              <w:tc>
                <w:tcPr>
                  <w:tcW w:w="1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91 663 875</w:t>
                  </w:r>
                </w:p>
              </w:tc>
            </w:tr>
            <w:tr>
              <w:tblPrEx>
                <w:tblW w:w="5000" w:type="pct"/>
                <w:tblCellSpacing w:w="0" w:type="dxa"/>
                <w:tblCellMar>
                  <w:top w:w="0" w:type="dxa"/>
                  <w:left w:w="0" w:type="dxa"/>
                  <w:bottom w:w="0" w:type="dxa"/>
                  <w:right w:w="0" w:type="dxa"/>
                </w:tblCellMar>
              </w:tblPrEx>
              <w:trPr>
                <w:tblCellSpacing w:w="0" w:type="dxa"/>
              </w:trPr>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M19 — Подкрепа за местно развитие по LEADER (ВОМР — водено от общностите местно развитие) (член 35 от Регламент (ЕС) № 1303/2013)</w:t>
                  </w:r>
                </w:p>
              </w:tc>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 публични разходи (в евро) — подготовка и изпълнение на дейности за сътрудничество на местната група за действие (19.3)</w:t>
                  </w:r>
                </w:p>
              </w:tc>
              <w:tc>
                <w:tcPr>
                  <w:tcW w:w="1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6 500 000</w:t>
                  </w:r>
                </w:p>
              </w:tc>
            </w:tr>
            <w:tr>
              <w:tblPrEx>
                <w:tblW w:w="5000" w:type="pct"/>
                <w:tblCellSpacing w:w="0" w:type="dxa"/>
                <w:tblCellMar>
                  <w:top w:w="0" w:type="dxa"/>
                  <w:left w:w="0" w:type="dxa"/>
                  <w:bottom w:w="0" w:type="dxa"/>
                  <w:right w:w="0" w:type="dxa"/>
                </w:tblCellMar>
              </w:tblPrEx>
              <w:trPr>
                <w:tblCellSpacing w:w="0" w:type="dxa"/>
              </w:trPr>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M19 — Подкрепа за местно развитие по LEADER (ВОМР — водено от общностите местно развитие) (член 35 от Регламент (ЕС) № 1303/2013)</w:t>
                  </w:r>
                </w:p>
              </w:tc>
              <w:tc>
                <w:tcPr>
                  <w:tcW w:w="2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 публични разходи (в евро) — подкрепа за текущи разходи и разходи за стимулиране на интерес (19.4)</w:t>
                  </w:r>
                </w:p>
              </w:tc>
              <w:tc>
                <w:tcPr>
                  <w:tcW w:w="100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30 553 959</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18"/>
              <w:jc w:val="left"/>
              <w:rPr>
                <w:rFonts w:ascii="Times New Roman" w:eastAsia="Times New Roman" w:hAnsi="Times New Roman" w:cs="Times New Roman"/>
                <w:szCs w:val="24"/>
              </w:rPr>
            </w:pPr>
            <w:r>
              <w:rPr>
                <w:rFonts w:ascii="Times New Roman" w:eastAsia="Times New Roman" w:hAnsi="Times New Roman" w:cs="Times New Roman"/>
                <w:b/>
                <w:bCs/>
                <w:szCs w:val="24"/>
              </w:rPr>
              <w:t>IV. Промени в текста на мярка 19 „Подкрепа за местно развитие по LEADER (ВОМР — водено от общностите местно развитие) (член 35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текста на мярка 19 „Подкрепа за местно развитие по LEADER (ВОМР — водено от общностите местно развитие) (член 35 от Регламент (ЕС) № 1303/2013)“, подраздел 8.2.15.5. „Методология за изчисляване на размера или процента на подпомагане, когато е уместно“, се прави промяна в описанието на методологията за определяне на възможността за прилагане на опростени разходи, тъй като Управляващият орган на ПРСР 2014 – 2020 г. възложи изготвянето на нова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Извършените промени в текста на мярка 19 на ПРСР 2014 – 2020 г. са в резултат на разработване на нова методология за определяне на опростени разходи. Методологията, изготвена от Съюза на икономистите в България и включена в ПРСР 2014 – 2020 г. при нейното одобрение през 2015 г. се заменя с методология, изработена от екип на Университета за национално и световно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V</w:t>
            </w:r>
            <w:r>
              <w:rPr>
                <w:rFonts w:ascii="Times New Roman" w:eastAsia="Times New Roman" w:hAnsi="Times New Roman" w:cs="Times New Roman"/>
                <w:b/>
                <w:bCs/>
                <w:szCs w:val="24"/>
              </w:rPr>
              <w:t>. Промени във финансовия план на Мярка 2 „Консултантски услуги, управление на стопанството и услуги по заместване в стопанството“, Мярка 4 „Инвестиции във физически активи“, и Мярка 10 „Агроекология и климат“ с цел изравняване на извършени разходи по фокус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второ и трето тримесечие на 2018 г. са надплатени суми по вече поети задължения спрямо разпределенията по финансов план на фокус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 Мярка 2 „Консултантски услуги,управление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5В ( 96 686 евро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5Г ( 96 393  евро от ЕЗФРСР),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5Д( 103 533 евро от ЕЗФРСР),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За Мярка 4 „Инвестиции във физически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2Б (общо 8 211 259 евро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За Мярка 10 „Агроекология и 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5Г ( общо 4 268 103 евро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препоръки, отправени от страна на службите на ЕК, се предвижда в рамките на 5то изменение на ПРСР, финансовият план на Програмата да бъде коригиран в съответствие с поетите ангажименти, и надплатените суми – с цел изравняване на извършените разходи по мерките за гореизброените фокус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се предвижда да бъдат нанесени аналогично на тези от 4то изменение - в глава 10 „Финансов план“ на ПРСР, като прехвърляните за тази цел средства ще бъдат само и единствено в рамките на съответните мерки,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Към Мярка 2 „Консултантски услуги,управление на стопанството и услуги по заместване в стопанството“ (от фокус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5В ( 220 000 евро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5Г ( 220 000  евро от ЕЗФРСР),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5Д( 220 000 евро от ЕЗФРСР),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Към Мярка 4 „Инвестиции във физически активи“ (от П4):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2Б (общо 20 000 000 евро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Към Мярка 10 „Агроекология и климат“ (от П4):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фокус област 5Г ( общо 4 500 000 евро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в глава 10 „Финансов план“, като следствие промени на сумите ще бъдат нанесени съответно и в раздел 11 „План на показателите“, по съответните приоритети и фокус области, както и в индикативната разбивка към Тематична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VI. </w:t>
            </w:r>
            <w:r>
              <w:rPr>
                <w:rFonts w:ascii="Times New Roman" w:eastAsia="Times New Roman" w:hAnsi="Times New Roman" w:cs="Times New Roman"/>
                <w:b/>
                <w:bCs/>
                <w:szCs w:val="24"/>
              </w:rPr>
              <w:t>Промени в текста на т. 18.2 „Удостоверение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текста на т. 18.2 „Удостоверение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 на ПРСР 2014 – 2020 г., се прави промяна, свързана с екипа, изготвил методологията за определяне на възможността за прилагане на опростени разходи, тъй като Управляващият орган на ПРСР 2014 – 2020 г. възложи изготвянето на нова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Извършените промени в текста на т. 18.2 на ПРСР 2014 – 2020 г. са в резултат на разработване на нова методология за определяне на опростени разходи. Методологията, изготвена от Съюза на икономистите в България и включена в ПРСР 2014 – 2020 г. при нейното одобрение през 2015 г. се заменя с методология, изработена от екип на Университета за национално и световно стопанство.</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в подмярка 1.1 ще допринесе за своевременно стартиране на прилагането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Промяната на методиката за опростени разходи и тяхната актуализация осигурява по-ефективно разходване на средствата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ефекти от предложените промени в подмярка 16.1 са повече получатели на финансова помощ, респективно принос за изпълнение на целите на ЕПИ, както и  по-добро изпълнение на заложените индикатори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включването и прилагането на подмярка 4.3 - инвестирането за модернизация на напоителните съоръжения, системата ще се експлоатира с по-голяма ефективност. В крайна сметка ползите, произтичащи от подобрените услуги за напояване, се очаква да компенсират понесената финансова тежест, дължаща се на ниската ефективност при напояването.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Предложеното прехвърляне на средства с цел изравняване на надплатените фокус области няма да окаже влияние по отношение на приноса на ЕЗФРСР към ПРСР. В резултат на прехвърлянето ще се намали общият размер на публичните разходи по ПРСР с 5 823 529 евро поради факта, че приносът на ЕЗФРСР към Мярка 4 в рамките на Приоритети 4 и 5 възлиза на 75 %, докато в рамките на Приоритет 2 възлиза на 85 %. По този начин общият бюджет на ПРСР за периода 2014-2020 г. ще бъде намален от 2 917 848 203 до 2 912 024 673 евро (от бюджета на мярка 4). </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Предложението за включване на подмярка 4.3 „Подкрепа за инвестиции в инфраструктура, свързани с развитие, модернизация или адаптиране на земеделската и горска инфраструктура“ е в синхрон със Споразумението за партньорство по отношение на заложени в споразумението мерки, свързани с под-приоритет: Околна среда и опазване на природното богатство и културно-историческото наследство, Мерки за управление на водите, Четвърта група: мерки за осигуряване на ресурсната ефективност в секторите ВиК, селско стопанство и индустрията, които са и елемент от мерките за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Предложеното прехвърляне на средства с цел изравняване на надплатените фокус области ще окаже влияние само по отношение на публичният принос на ПРСР, и единствено за финансовото изражение на показателите, в Глава 11 на ПРСР „План на показателите“. </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не засяга по никакъв начин общия размер на ЕЗФРСР. Все пак се очаква да има незначителни промени в разпределението на тематичните цели (таблица 1.4.1 от Споразумението за партньорство).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14" w:name="_Toc256000007"/>
      <w:bookmarkStart w:id="15" w:name="_Toc256000270"/>
      <w:r>
        <w:rPr>
          <w:b w:val="0"/>
        </w:rPr>
        <w:t>Държава членка или административен район</w:t>
      </w:r>
      <w:bookmarkEnd w:id="15"/>
      <w:bookmarkEnd w:id="14"/>
    </w:p>
    <w:p>
      <w:pPr>
        <w:pStyle w:val="Heading2"/>
        <w:rPr>
          <w:b w:val="0"/>
        </w:rPr>
      </w:pPr>
      <w:bookmarkStart w:id="16" w:name="_Toc256000008"/>
      <w:bookmarkStart w:id="17" w:name="_Toc256000271"/>
      <w:r>
        <w:rPr>
          <w:b w:val="0"/>
        </w:rPr>
        <w:t>Географски район, обхванат от програмата</w:t>
      </w:r>
      <w:bookmarkEnd w:id="17"/>
      <w:bookmarkEnd w:id="16"/>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18" w:name="_Toc256000009"/>
      <w:bookmarkStart w:id="19" w:name="_Toc256000272"/>
      <w:r>
        <w:rPr>
          <w:b w:val="0"/>
        </w:rPr>
        <w:t>Класификация на региона</w:t>
      </w:r>
      <w:bookmarkEnd w:id="19"/>
      <w:bookmarkEnd w:id="18"/>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20" w:name="_Toc256000010"/>
      <w:bookmarkStart w:id="21" w:name="_Toc256000273"/>
      <w:r>
        <w:t>Предварителна оценка</w:t>
      </w:r>
      <w:bookmarkEnd w:id="21"/>
      <w:bookmarkEnd w:id="20"/>
    </w:p>
    <w:p>
      <w:pPr>
        <w:pStyle w:val="Heading2"/>
      </w:pPr>
      <w:bookmarkStart w:id="22" w:name="_Toc256000011"/>
      <w:bookmarkStart w:id="23" w:name="_Toc256000274"/>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23"/>
      <w:bookmarkEnd w:id="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24" w:name="_Toc256000012"/>
      <w:bookmarkStart w:id="25" w:name="_Toc256000275"/>
      <w:r>
        <w:t>Структурирана таблица, съдържаща препоръките от предварителната оценка и информация за начина, по който те са взети предвид.</w:t>
      </w:r>
      <w:bookmarkEnd w:id="25"/>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403"/>
        <w:gridCol w:w="4688"/>
        <w:gridCol w:w="1329"/>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tcPr>
          <w:p>
            <w:pPr>
              <w:rPr>
                <w:b/>
              </w:rPr>
            </w:pPr>
            <w:r>
              <w:rPr>
                <w:b/>
              </w:rPr>
              <w:t>Наименование (или референтен номер) на препоръката</w:t>
            </w:r>
          </w:p>
        </w:tc>
        <w:tc>
          <w:tcPr>
            <w:shd w:val="clear" w:color="auto" w:fill="C0C0C0"/>
          </w:tcPr>
          <w:p>
            <w:pPr>
              <w:rPr>
                <w:b/>
              </w:rPr>
            </w:pPr>
            <w:r>
              <w:rPr>
                <w:b/>
              </w:rPr>
              <w:t>Категория на препоръката</w:t>
            </w:r>
          </w:p>
        </w:tc>
        <w:tc>
          <w:tcPr>
            <w:shd w:val="clear" w:color="auto" w:fill="C0C0C0"/>
          </w:tcPr>
          <w:p>
            <w:pPr>
              <w:rPr>
                <w:b w:val="0"/>
              </w:rPr>
            </w:pPr>
            <w:r>
              <w:rPr>
                <w:b/>
              </w:rPr>
              <w:t>Дата</w:t>
            </w:r>
          </w:p>
        </w:tc>
      </w:tr>
      <w:tr>
        <w:tblPrEx>
          <w:tblW w:w="5000" w:type="pct"/>
          <w:tblCellMar>
            <w:left w:w="108" w:type="dxa"/>
            <w:right w:w="108" w:type="dxa"/>
          </w:tblCellMar>
        </w:tblPrEx>
        <w:tc>
          <w:tcPr>
            <w:shd w:val="clear" w:color="auto" w:fill="FFFFFF"/>
          </w:tcPr>
          <w:p>
            <w:pPr>
              <w:rPr>
                <w:b w:val="0"/>
              </w:rPr>
            </w:pPr>
            <w:r>
              <w:rPr>
                <w:b w:val="0"/>
              </w:rPr>
              <w:t>1.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2.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3.АНС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4.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5.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6.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7.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8.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9. АНС</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А. SWOT Aнализ</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Б. Потребности</w:t>
            </w:r>
          </w:p>
        </w:tc>
        <w:tc>
          <w:tcPr>
            <w:shd w:val="clear" w:color="auto" w:fill="FFFFFF"/>
          </w:tcPr>
          <w:p>
            <w:pPr>
              <w:rPr>
                <w:b w:val="0"/>
              </w:rPr>
            </w:pPr>
            <w:r>
              <w:rPr>
                <w:b w:val="0"/>
              </w:rPr>
              <w:t>SWOT-анализ, оценка на нуждите</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В. Стратегия 1</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Г. Стратегия 2</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Д. Стратегия 3</w:t>
            </w:r>
          </w:p>
        </w:tc>
        <w:tc>
          <w:tcPr>
            <w:shd w:val="clear" w:color="auto" w:fill="FFFFFF"/>
          </w:tcPr>
          <w:p>
            <w:pPr>
              <w:rPr>
                <w:b w:val="0"/>
              </w:rPr>
            </w:pPr>
            <w:r>
              <w:rPr>
                <w:b w:val="0"/>
              </w:rPr>
              <w:t>Разработване на логиката на интервенция</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Е. Специфични цели</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Ж. Финансови средства 1</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З. Финансови средства 2</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И. Финансови средства 3</w:t>
            </w:r>
          </w:p>
        </w:tc>
        <w:tc>
          <w:tcPr>
            <w:shd w:val="clear" w:color="auto" w:fill="FFFFFF"/>
          </w:tcPr>
          <w:p>
            <w:pPr>
              <w:rPr>
                <w:b w:val="0"/>
              </w:rPr>
            </w:pPr>
            <w:r>
              <w:rPr>
                <w:b w:val="0"/>
              </w:rPr>
              <w:t>Определяне на целите, разпределение на финансовите средства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Й. Административни ресурси</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К. Обучение на персонала</w:t>
            </w:r>
          </w:p>
        </w:tc>
        <w:tc>
          <w:tcPr>
            <w:shd w:val="clear" w:color="auto" w:fill="FFFFFF"/>
          </w:tcPr>
          <w:p>
            <w:pPr>
              <w:rPr>
                <w:b w:val="0"/>
              </w:rPr>
            </w:pPr>
            <w:r>
              <w:rPr>
                <w:b w:val="0"/>
              </w:rPr>
              <w:t>Организация за изпълнението на програмата</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Л. Тематична подпрограма за малки стопанства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М. План за оценка</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Н. Комуникация</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r>
        <w:tblPrEx>
          <w:tblW w:w="5000" w:type="pct"/>
          <w:tblCellMar>
            <w:left w:w="108" w:type="dxa"/>
            <w:right w:w="108" w:type="dxa"/>
          </w:tblCellMar>
        </w:tblPrEx>
        <w:tc>
          <w:tcPr>
            <w:shd w:val="clear" w:color="auto" w:fill="FFFFFF"/>
          </w:tcPr>
          <w:p>
            <w:pPr>
              <w:rPr>
                <w:b w:val="0"/>
              </w:rPr>
            </w:pPr>
            <w:r>
              <w:rPr>
                <w:b w:val="0"/>
              </w:rPr>
              <w:t>О. Участие на заинтересованите страни</w:t>
            </w:r>
          </w:p>
        </w:tc>
        <w:tc>
          <w:tcPr>
            <w:shd w:val="clear" w:color="auto" w:fill="FFFFFF"/>
          </w:tcPr>
          <w:p>
            <w:pPr>
              <w:rPr>
                <w:b w:val="0"/>
              </w:rPr>
            </w:pPr>
            <w:r>
              <w:rPr>
                <w:b w:val="0"/>
              </w:rPr>
              <w:t>Други</w:t>
            </w:r>
          </w:p>
        </w:tc>
        <w:tc>
          <w:tcPr>
            <w:shd w:val="clear" w:color="auto" w:fill="FFFFFF"/>
          </w:tcPr>
          <w:p>
            <w:pPr>
              <w:rPr>
                <w:b w:val="0"/>
              </w:rPr>
            </w:pPr>
            <w:r>
              <w:rPr>
                <w:b w:val="0"/>
              </w:rPr>
              <w:t>03/02/2015</w:t>
            </w:r>
          </w:p>
        </w:tc>
      </w:tr>
    </w:tbl>
    <w:p>
      <w:pPr>
        <w:rPr>
          <w:b/>
        </w:rPr>
      </w:pPr>
    </w:p>
    <w:p>
      <w:pPr>
        <w:pStyle w:val="Heading3"/>
        <w:jc w:val="left"/>
        <w:rPr>
          <w:b w:val="0"/>
        </w:rPr>
      </w:pPr>
      <w:bookmarkStart w:id="26" w:name="_Toc256000013"/>
      <w:bookmarkStart w:id="27" w:name="_Toc256000276"/>
      <w:r>
        <w:rPr>
          <w:b w:val="0"/>
        </w:rPr>
        <w:t>1. АНС</w:t>
      </w:r>
      <w:bookmarkEnd w:id="27"/>
      <w:bookmarkEnd w:id="2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28" w:name="_Toc256000014"/>
      <w:bookmarkStart w:id="29" w:name="_Toc256000277"/>
      <w:r>
        <w:rPr>
          <w:b w:val="0"/>
        </w:rPr>
        <w:t>2. АНС</w:t>
      </w:r>
      <w:bookmarkEnd w:id="29"/>
      <w:bookmarkEnd w:id="2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30" w:name="_Toc256000015"/>
      <w:bookmarkStart w:id="31" w:name="_Toc256000278"/>
      <w:r>
        <w:rPr>
          <w:b w:val="0"/>
        </w:rPr>
        <w:t>3.АНС</w:t>
      </w:r>
      <w:bookmarkEnd w:id="31"/>
      <w:bookmarkEnd w:id="3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32" w:name="_Toc256000016"/>
      <w:bookmarkStart w:id="33" w:name="_Toc256000279"/>
      <w:r>
        <w:rPr>
          <w:b w:val="0"/>
        </w:rPr>
        <w:t>4. АНС</w:t>
      </w:r>
      <w:bookmarkEnd w:id="33"/>
      <w:bookmarkEnd w:id="3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34" w:name="_Toc256000017"/>
      <w:bookmarkStart w:id="35" w:name="_Toc256000280"/>
      <w:r>
        <w:rPr>
          <w:b w:val="0"/>
        </w:rPr>
        <w:t>5. АНС</w:t>
      </w:r>
      <w:bookmarkEnd w:id="35"/>
      <w:bookmarkEnd w:id="3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36" w:name="_Toc256000018"/>
      <w:bookmarkStart w:id="37" w:name="_Toc256000281"/>
      <w:r>
        <w:rPr>
          <w:b w:val="0"/>
        </w:rPr>
        <w:t>6. АНС</w:t>
      </w:r>
      <w:bookmarkEnd w:id="37"/>
      <w:bookmarkEnd w:id="3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38" w:name="_Toc256000019"/>
      <w:bookmarkStart w:id="39" w:name="_Toc256000282"/>
      <w:r>
        <w:rPr>
          <w:b w:val="0"/>
        </w:rPr>
        <w:t>7. АНС</w:t>
      </w:r>
      <w:bookmarkEnd w:id="39"/>
      <w:bookmarkEnd w:id="3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40" w:name="_Toc256000020"/>
      <w:bookmarkStart w:id="41" w:name="_Toc256000283"/>
      <w:r>
        <w:rPr>
          <w:b w:val="0"/>
        </w:rPr>
        <w:t>8. АНС</w:t>
      </w:r>
      <w:bookmarkEnd w:id="41"/>
      <w:bookmarkEnd w:id="4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42" w:name="_Toc256000021"/>
      <w:bookmarkStart w:id="43" w:name="_Toc256000284"/>
      <w:r>
        <w:rPr>
          <w:b w:val="0"/>
        </w:rPr>
        <w:t>9. АНС</w:t>
      </w:r>
      <w:bookmarkEnd w:id="43"/>
      <w:bookmarkEnd w:id="4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44" w:name="_Toc256000022"/>
      <w:bookmarkStart w:id="45" w:name="_Toc256000285"/>
      <w:r>
        <w:rPr>
          <w:b w:val="0"/>
        </w:rPr>
        <w:t>А. SWOT Aнализ</w:t>
      </w:r>
      <w:bookmarkEnd w:id="45"/>
      <w:bookmarkEnd w:id="4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6" w:name="_Toc256000023"/>
      <w:bookmarkStart w:id="47" w:name="_Toc256000286"/>
      <w:r>
        <w:rPr>
          <w:b w:val="0"/>
        </w:rPr>
        <w:t>Б. Потребности</w:t>
      </w:r>
      <w:bookmarkEnd w:id="47"/>
      <w:bookmarkEnd w:id="4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8" w:name="_Toc256000024"/>
      <w:bookmarkStart w:id="49" w:name="_Toc256000287"/>
      <w:r>
        <w:rPr>
          <w:b w:val="0"/>
        </w:rPr>
        <w:t>В. Стратегия 1</w:t>
      </w:r>
      <w:bookmarkEnd w:id="49"/>
      <w:bookmarkEnd w:id="48"/>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50" w:name="_Toc256000025"/>
      <w:bookmarkStart w:id="51" w:name="_Toc256000288"/>
      <w:r>
        <w:rPr>
          <w:b w:val="0"/>
        </w:rPr>
        <w:t>Г. Стратегия 2</w:t>
      </w:r>
      <w:bookmarkEnd w:id="51"/>
      <w:bookmarkEnd w:id="50"/>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52" w:name="_Toc256000026"/>
      <w:bookmarkStart w:id="53" w:name="_Toc256000289"/>
      <w:r>
        <w:rPr>
          <w:b w:val="0"/>
        </w:rPr>
        <w:t>Д. Стратегия 3</w:t>
      </w:r>
      <w:bookmarkEnd w:id="53"/>
      <w:bookmarkEnd w:id="52"/>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54" w:name="_Toc256000027"/>
      <w:bookmarkStart w:id="55" w:name="_Toc256000290"/>
      <w:r>
        <w:rPr>
          <w:b w:val="0"/>
        </w:rPr>
        <w:t>Е. Специфични цели</w:t>
      </w:r>
      <w:bookmarkEnd w:id="55"/>
      <w:bookmarkEnd w:id="54"/>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56" w:name="_Toc256000028"/>
      <w:bookmarkStart w:id="57" w:name="_Toc256000291"/>
      <w:r>
        <w:rPr>
          <w:b w:val="0"/>
        </w:rPr>
        <w:t>Ж. Финансови средства 1</w:t>
      </w:r>
      <w:bookmarkEnd w:id="57"/>
      <w:bookmarkEnd w:id="56"/>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58" w:name="_Toc256000029"/>
      <w:bookmarkStart w:id="59" w:name="_Toc256000292"/>
      <w:r>
        <w:rPr>
          <w:b w:val="0"/>
        </w:rPr>
        <w:t>З. Финансови средства 2</w:t>
      </w:r>
      <w:bookmarkEnd w:id="59"/>
      <w:bookmarkEnd w:id="5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60" w:name="_Toc256000030"/>
      <w:bookmarkStart w:id="61" w:name="_Toc256000293"/>
      <w:r>
        <w:rPr>
          <w:b w:val="0"/>
        </w:rPr>
        <w:t>И. Финансови средства 3</w:t>
      </w:r>
      <w:bookmarkEnd w:id="61"/>
      <w:bookmarkEnd w:id="6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62" w:name="_Toc256000031"/>
      <w:bookmarkStart w:id="63" w:name="_Toc256000294"/>
      <w:r>
        <w:rPr>
          <w:b w:val="0"/>
        </w:rPr>
        <w:t>Й. Административни ресурси</w:t>
      </w:r>
      <w:bookmarkEnd w:id="63"/>
      <w:bookmarkEnd w:id="6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64" w:name="_Toc256000032"/>
      <w:bookmarkStart w:id="65" w:name="_Toc256000295"/>
      <w:r>
        <w:rPr>
          <w:b w:val="0"/>
        </w:rPr>
        <w:t>К. Обучение на персонала</w:t>
      </w:r>
      <w:bookmarkEnd w:id="65"/>
      <w:bookmarkEnd w:id="64"/>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66" w:name="_Toc256000033"/>
      <w:bookmarkStart w:id="67" w:name="_Toc256000296"/>
      <w:r>
        <w:rPr>
          <w:b w:val="0"/>
        </w:rPr>
        <w:t>Л. Тематична подпрограма за малки стопанства</w:t>
      </w:r>
      <w:bookmarkEnd w:id="67"/>
      <w:bookmarkEnd w:id="6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68" w:name="_Toc256000034"/>
      <w:bookmarkStart w:id="69" w:name="_Toc256000297"/>
      <w:r>
        <w:rPr>
          <w:b w:val="0"/>
        </w:rPr>
        <w:t>М. План за оценка</w:t>
      </w:r>
      <w:bookmarkEnd w:id="69"/>
      <w:bookmarkEnd w:id="68"/>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70" w:name="_Toc256000035"/>
      <w:bookmarkStart w:id="71" w:name="_Toc256000298"/>
      <w:r>
        <w:rPr>
          <w:b w:val="0"/>
        </w:rPr>
        <w:t>Н. Комуникация</w:t>
      </w:r>
      <w:bookmarkEnd w:id="71"/>
      <w:bookmarkEnd w:id="70"/>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72" w:name="_Toc256000036"/>
      <w:bookmarkStart w:id="73" w:name="_Toc256000299"/>
      <w:r>
        <w:rPr>
          <w:b w:val="0"/>
        </w:rPr>
        <w:t>О. Участие на заинтересованите страни</w:t>
      </w:r>
      <w:bookmarkEnd w:id="73"/>
      <w:bookmarkEnd w:id="72"/>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74" w:name="_Toc256000037"/>
      <w:bookmarkStart w:id="75" w:name="_Toc256000300"/>
      <w:r>
        <w:rPr>
          <w:b w:val="0"/>
        </w:rPr>
        <w:t>Доклад от предварителната оценка</w:t>
      </w:r>
      <w:bookmarkEnd w:id="75"/>
      <w:bookmarkEnd w:id="74"/>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76" w:name="_Toc256000038"/>
      <w:bookmarkStart w:id="77" w:name="_Toc256000301"/>
      <w:r>
        <w:t>SWOT и установяване на потребностите</w:t>
      </w:r>
      <w:bookmarkEnd w:id="77"/>
      <w:bookmarkEnd w:id="76"/>
    </w:p>
    <w:p>
      <w:pPr>
        <w:pStyle w:val="Heading2"/>
      </w:pPr>
      <w:bookmarkStart w:id="78" w:name="_Toc256000039"/>
      <w:bookmarkStart w:id="79" w:name="_Toc256000302"/>
      <w:r>
        <w:t>SWOT</w:t>
      </w:r>
      <w:bookmarkEnd w:id="79"/>
      <w:bookmarkEnd w:id="78"/>
    </w:p>
    <w:p>
      <w:pPr>
        <w:pStyle w:val="Heading3"/>
        <w:jc w:val="left"/>
        <w:rPr>
          <w:b w:val="0"/>
        </w:rPr>
      </w:pPr>
      <w:bookmarkStart w:id="80" w:name="_Toc256000040"/>
      <w:bookmarkStart w:id="81" w:name="_Toc256000303"/>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81"/>
      <w:bookmarkEnd w:id="8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41"/>
      <w:bookmarkStart w:id="83" w:name="_Toc256000304"/>
      <w:r>
        <w:rPr>
          <w:b w:val="0"/>
        </w:rPr>
        <w:t>Силни страни, установени в програмния район</w:t>
      </w:r>
      <w:bookmarkEnd w:id="83"/>
      <w:bookmarkEnd w:id="8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42"/>
      <w:bookmarkStart w:id="85" w:name="_Toc256000305"/>
      <w:r>
        <w:rPr>
          <w:b w:val="0"/>
        </w:rPr>
        <w:t>Слаби страни в програмния район</w:t>
      </w:r>
      <w:bookmarkEnd w:id="85"/>
      <w:bookmarkEnd w:id="8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43"/>
      <w:bookmarkStart w:id="87" w:name="_Toc256000306"/>
      <w:r>
        <w:rPr>
          <w:b w:val="0"/>
        </w:rPr>
        <w:t>Възможности, установени в програмния район</w:t>
      </w:r>
      <w:bookmarkEnd w:id="87"/>
      <w:bookmarkEnd w:id="8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8" w:name="_Toc256000044"/>
      <w:bookmarkStart w:id="89" w:name="_Toc256000307"/>
      <w:r>
        <w:rPr>
          <w:b w:val="0"/>
        </w:rPr>
        <w:t>Заплахи в програмния район</w:t>
      </w:r>
      <w:bookmarkEnd w:id="89"/>
      <w:bookmarkEnd w:id="8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tcPr>
          <w:p>
            <w:pPr>
              <w:numPr>
                <w:ilvl w:val="0"/>
                <w:numId w:val="27"/>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90" w:name="_Toc256000045"/>
      <w:bookmarkStart w:id="91" w:name="_Toc256000308"/>
      <w:r>
        <w:rPr>
          <w:b w:val="0"/>
        </w:rPr>
        <w:t>Общи показатели за контекста</w:t>
      </w:r>
      <w:bookmarkEnd w:id="91"/>
      <w:bookmarkEnd w:id="9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874"/>
        <w:gridCol w:w="2285"/>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4205"/>
        <w:gridCol w:w="1954"/>
        <w:gridCol w:w="905"/>
        <w:gridCol w:w="752"/>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3231"/>
        <w:gridCol w:w="2891"/>
        <w:gridCol w:w="905"/>
        <w:gridCol w:w="788"/>
        <w:gridCol w:w="1292"/>
        <w:gridCol w:w="129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4"/>
            <w:shd w:val="clear" w:color="auto" w:fill="FFFFFF"/>
            <w:noWrap w:val="0"/>
            <w:tcMar>
              <w:top w:w="20" w:type="dxa"/>
              <w:bottom w:w="20" w:type="dxa"/>
            </w:tcMar>
            <w:vAlign w:val="center"/>
          </w:tcPr>
          <w:p>
            <w:pPr>
              <w:rPr>
                <w:b w:val="0"/>
                <w:i/>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shd w:val="clear" w:color="auto" w:fill="FFFFFF"/>
            <w:noWrap w:val="0"/>
            <w:tcMar>
              <w:top w:w="20" w:type="dxa"/>
              <w:bottom w:w="20" w:type="dxa"/>
            </w:tcMar>
            <w:vAlign w:val="center"/>
          </w:tcPr>
          <w:p>
            <w:pPr>
              <w:spacing w:before="20" w:after="20"/>
              <w:jc w:val="right"/>
              <w:rPr>
                <w:b w:val="0"/>
                <w:i w:val="0"/>
                <w:sz w:val="16"/>
              </w:rPr>
            </w:pPr>
          </w:p>
        </w:tc>
        <w:tc>
          <w:tcPr>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92" w:name="_Toc256000046"/>
      <w:bookmarkStart w:id="93" w:name="_Toc256000309"/>
      <w:r>
        <w:rPr>
          <w:b w:val="0"/>
          <w:i w:val="0"/>
        </w:rPr>
        <w:t>Специфични за програмата показатели за контекста</w:t>
      </w:r>
      <w:bookmarkEnd w:id="93"/>
      <w:bookmarkEnd w:id="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33"/>
        <w:gridCol w:w="932"/>
        <w:gridCol w:w="2779"/>
        <w:gridCol w:w="1635"/>
        <w:gridCol w:w="2388"/>
        <w:gridCol w:w="13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shd w:val="clear" w:color="auto" w:fill="C0C0C0"/>
            <w:noWrap w:val="0"/>
            <w:tcMar>
              <w:top w:w="20" w:type="dxa"/>
              <w:bottom w:w="20" w:type="dxa"/>
            </w:tcMar>
            <w:vAlign w:val="center"/>
          </w:tcPr>
          <w:p>
            <w:pPr>
              <w:jc w:val="center"/>
              <w:rPr>
                <w:b w:val="0"/>
                <w:i w:val="0"/>
                <w:sz w:val="16"/>
              </w:rPr>
            </w:pPr>
            <w:r>
              <w:rPr>
                <w:b w:val="0"/>
                <w:i w:val="0"/>
                <w:sz w:val="16"/>
              </w:rPr>
              <w:t>Код</w:t>
            </w:r>
          </w:p>
        </w:tc>
        <w:tc>
          <w:tcPr>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94" w:name="_Toc256000047"/>
      <w:bookmarkStart w:id="95" w:name="_Toc256000310"/>
      <w:r>
        <w:t>Оценка на потребностите</w:t>
      </w:r>
      <w:bookmarkEnd w:id="95"/>
      <w:bookmarkEnd w:id="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46"/>
        <w:gridCol w:w="432"/>
        <w:gridCol w:w="423"/>
        <w:gridCol w:w="423"/>
        <w:gridCol w:w="432"/>
        <w:gridCol w:w="423"/>
        <w:gridCol w:w="513"/>
        <w:gridCol w:w="432"/>
        <w:gridCol w:w="423"/>
        <w:gridCol w:w="432"/>
        <w:gridCol w:w="423"/>
        <w:gridCol w:w="423"/>
        <w:gridCol w:w="432"/>
        <w:gridCol w:w="423"/>
        <w:gridCol w:w="423"/>
        <w:gridCol w:w="432"/>
        <w:gridCol w:w="414"/>
        <w:gridCol w:w="432"/>
        <w:gridCol w:w="423"/>
        <w:gridCol w:w="423"/>
        <w:gridCol w:w="746"/>
        <w:gridCol w:w="1333"/>
        <w:gridCol w:w="92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gridSpan w:val="3"/>
            <w:shd w:val="clear" w:color="auto" w:fill="808080"/>
            <w:noWrap w:val="0"/>
            <w:tcMar>
              <w:top w:w="20" w:type="dxa"/>
              <w:bottom w:w="20" w:type="dxa"/>
            </w:tcMar>
            <w:vAlign w:val="center"/>
          </w:tcPr>
          <w:p>
            <w:pPr>
              <w:jc w:val="center"/>
              <w:rPr>
                <w:b/>
                <w:sz w:val="20"/>
              </w:rPr>
            </w:pPr>
            <w:r>
              <w:rPr>
                <w:b/>
                <w:sz w:val="20"/>
              </w:rPr>
              <w:t>P1</w:t>
            </w:r>
          </w:p>
        </w:tc>
        <w:tc>
          <w:tcPr>
            <w:gridSpan w:val="3"/>
            <w:shd w:val="clear" w:color="auto" w:fill="808080"/>
            <w:noWrap w:val="0"/>
            <w:tcMar>
              <w:top w:w="20" w:type="dxa"/>
              <w:bottom w:w="20" w:type="dxa"/>
            </w:tcMar>
            <w:vAlign w:val="center"/>
          </w:tcPr>
          <w:p>
            <w:pPr>
              <w:jc w:val="center"/>
              <w:rPr>
                <w:b/>
                <w:sz w:val="20"/>
              </w:rPr>
            </w:pPr>
            <w:r>
              <w:rPr>
                <w:b/>
                <w:sz w:val="20"/>
              </w:rPr>
              <w:t>P2</w:t>
            </w:r>
          </w:p>
        </w:tc>
        <w:tc>
          <w:tcPr>
            <w:gridSpan w:val="2"/>
            <w:shd w:val="clear" w:color="auto" w:fill="808080"/>
            <w:noWrap w:val="0"/>
            <w:tcMar>
              <w:top w:w="20" w:type="dxa"/>
              <w:bottom w:w="20" w:type="dxa"/>
            </w:tcMar>
            <w:vAlign w:val="center"/>
          </w:tcPr>
          <w:p>
            <w:pPr>
              <w:jc w:val="center"/>
              <w:rPr>
                <w:b/>
                <w:sz w:val="20"/>
              </w:rPr>
            </w:pPr>
            <w:r>
              <w:rPr>
                <w:b/>
                <w:sz w:val="20"/>
              </w:rPr>
              <w:t>P3</w:t>
            </w:r>
          </w:p>
        </w:tc>
        <w:tc>
          <w:tcPr>
            <w:gridSpan w:val="3"/>
            <w:shd w:val="clear" w:color="auto" w:fill="808080"/>
            <w:noWrap w:val="0"/>
            <w:tcMar>
              <w:top w:w="20" w:type="dxa"/>
              <w:bottom w:w="20" w:type="dxa"/>
            </w:tcMar>
            <w:vAlign w:val="center"/>
          </w:tcPr>
          <w:p>
            <w:pPr>
              <w:jc w:val="center"/>
              <w:rPr>
                <w:b/>
                <w:sz w:val="20"/>
              </w:rPr>
            </w:pPr>
            <w:r>
              <w:rPr>
                <w:b/>
                <w:sz w:val="20"/>
              </w:rPr>
              <w:t>P4</w:t>
            </w:r>
          </w:p>
        </w:tc>
        <w:tc>
          <w:tcPr>
            <w:gridSpan w:val="5"/>
            <w:shd w:val="clear" w:color="auto" w:fill="808080"/>
            <w:noWrap w:val="0"/>
            <w:tcMar>
              <w:top w:w="20" w:type="dxa"/>
              <w:bottom w:w="20" w:type="dxa"/>
            </w:tcMar>
            <w:vAlign w:val="center"/>
          </w:tcPr>
          <w:p>
            <w:pPr>
              <w:jc w:val="center"/>
              <w:rPr>
                <w:b/>
                <w:sz w:val="20"/>
              </w:rPr>
            </w:pPr>
            <w:r>
              <w:rPr>
                <w:b/>
                <w:sz w:val="20"/>
              </w:rPr>
              <w:t>P5</w:t>
            </w:r>
          </w:p>
        </w:tc>
        <w:tc>
          <w:tcPr>
            <w:gridSpan w:val="3"/>
            <w:shd w:val="clear" w:color="auto" w:fill="808080"/>
            <w:noWrap w:val="0"/>
            <w:tcMar>
              <w:top w:w="20" w:type="dxa"/>
              <w:bottom w:w="20" w:type="dxa"/>
            </w:tcMar>
            <w:vAlign w:val="center"/>
          </w:tcPr>
          <w:p>
            <w:pPr>
              <w:jc w:val="center"/>
              <w:rPr>
                <w:b/>
                <w:sz w:val="20"/>
              </w:rPr>
            </w:pPr>
            <w:r>
              <w:rPr>
                <w:b/>
                <w:sz w:val="20"/>
              </w:rPr>
              <w:t>P6</w:t>
            </w:r>
          </w:p>
        </w:tc>
        <w:tc>
          <w:tcPr>
            <w:gridSpan w:val="3"/>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vMerge/>
            <w:shd w:val="clear" w:color="auto" w:fill="808080"/>
            <w:noWrap w:val="0"/>
            <w:tcMar>
              <w:top w:w="20" w:type="dxa"/>
              <w:bottom w:w="20" w:type="dxa"/>
            </w:tcMar>
            <w:vAlign w:val="center"/>
          </w:tcPr>
          <w:p>
            <w:pPr>
              <w:jc w:val="center"/>
              <w:rPr>
                <w:b/>
                <w:sz w:val="20"/>
              </w:rPr>
            </w:pPr>
          </w:p>
        </w:tc>
        <w:tc>
          <w:tcPr>
            <w:shd w:val="clear" w:color="auto" w:fill="C0C0C0"/>
            <w:noWrap w:val="0"/>
            <w:tcMar>
              <w:top w:w="20" w:type="dxa"/>
              <w:bottom w:w="20" w:type="dxa"/>
            </w:tcMar>
            <w:vAlign w:val="center"/>
          </w:tcPr>
          <w:p>
            <w:pPr>
              <w:jc w:val="center"/>
              <w:rPr>
                <w:b w:val="0"/>
                <w:sz w:val="16"/>
              </w:rPr>
            </w:pPr>
            <w:r>
              <w:rPr>
                <w:b w:val="0"/>
                <w:sz w:val="16"/>
              </w:rPr>
              <w:t>1A</w:t>
            </w:r>
          </w:p>
        </w:tc>
        <w:tc>
          <w:tcPr>
            <w:shd w:val="clear" w:color="auto" w:fill="C0C0C0"/>
            <w:noWrap w:val="0"/>
            <w:tcMar>
              <w:top w:w="20" w:type="dxa"/>
              <w:bottom w:w="20" w:type="dxa"/>
            </w:tcMar>
            <w:vAlign w:val="center"/>
          </w:tcPr>
          <w:p>
            <w:pPr>
              <w:jc w:val="center"/>
              <w:rPr>
                <w:b w:val="0"/>
                <w:sz w:val="16"/>
              </w:rPr>
            </w:pPr>
            <w:r>
              <w:rPr>
                <w:b w:val="0"/>
                <w:sz w:val="16"/>
              </w:rPr>
              <w:t>1B</w:t>
            </w:r>
          </w:p>
        </w:tc>
        <w:tc>
          <w:tcPr>
            <w:shd w:val="clear" w:color="auto" w:fill="C0C0C0"/>
            <w:noWrap w:val="0"/>
            <w:tcMar>
              <w:top w:w="20" w:type="dxa"/>
              <w:bottom w:w="20" w:type="dxa"/>
            </w:tcMar>
            <w:vAlign w:val="center"/>
          </w:tcPr>
          <w:p>
            <w:pPr>
              <w:jc w:val="center"/>
              <w:rPr>
                <w:b w:val="0"/>
                <w:sz w:val="16"/>
              </w:rPr>
            </w:pPr>
            <w:r>
              <w:rPr>
                <w:b w:val="0"/>
                <w:sz w:val="16"/>
              </w:rPr>
              <w:t>1C</w:t>
            </w:r>
          </w:p>
        </w:tc>
        <w:tc>
          <w:tcPr>
            <w:shd w:val="clear" w:color="auto" w:fill="C0C0C0"/>
            <w:noWrap w:val="0"/>
            <w:tcMar>
              <w:top w:w="20" w:type="dxa"/>
              <w:bottom w:w="20" w:type="dxa"/>
            </w:tcMar>
            <w:vAlign w:val="center"/>
          </w:tcPr>
          <w:p>
            <w:pPr>
              <w:jc w:val="center"/>
              <w:rPr>
                <w:b w:val="0"/>
                <w:sz w:val="16"/>
              </w:rPr>
            </w:pPr>
            <w:r>
              <w:rPr>
                <w:b w:val="0"/>
                <w:sz w:val="16"/>
              </w:rPr>
              <w:t>2A</w:t>
            </w:r>
          </w:p>
        </w:tc>
        <w:tc>
          <w:tcPr>
            <w:shd w:val="clear" w:color="auto" w:fill="C0C0C0"/>
            <w:noWrap w:val="0"/>
            <w:tcMar>
              <w:top w:w="20" w:type="dxa"/>
              <w:bottom w:w="20" w:type="dxa"/>
            </w:tcMar>
            <w:vAlign w:val="center"/>
          </w:tcPr>
          <w:p>
            <w:pPr>
              <w:jc w:val="center"/>
              <w:rPr>
                <w:b w:val="0"/>
                <w:sz w:val="16"/>
              </w:rPr>
            </w:pPr>
            <w:r>
              <w:rPr>
                <w:b w:val="0"/>
                <w:sz w:val="16"/>
              </w:rPr>
              <w:t>2B</w:t>
            </w:r>
          </w:p>
        </w:tc>
        <w:tc>
          <w:tcPr>
            <w:shd w:val="clear" w:color="auto" w:fill="C0C0C0"/>
            <w:noWrap w:val="0"/>
            <w:tcMar>
              <w:top w:w="20" w:type="dxa"/>
              <w:bottom w:w="20" w:type="dxa"/>
            </w:tcMar>
            <w:vAlign w:val="center"/>
          </w:tcPr>
          <w:p>
            <w:pPr>
              <w:jc w:val="center"/>
              <w:rPr>
                <w:b w:val="0"/>
                <w:sz w:val="16"/>
              </w:rPr>
            </w:pPr>
            <w:r>
              <w:rPr>
                <w:b w:val="0"/>
                <w:sz w:val="16"/>
              </w:rPr>
              <w:t>2C+</w:t>
            </w:r>
          </w:p>
        </w:tc>
        <w:tc>
          <w:tcPr>
            <w:shd w:val="clear" w:color="auto" w:fill="C0C0C0"/>
            <w:noWrap w:val="0"/>
            <w:tcMar>
              <w:top w:w="20" w:type="dxa"/>
              <w:bottom w:w="20" w:type="dxa"/>
            </w:tcMar>
            <w:vAlign w:val="center"/>
          </w:tcPr>
          <w:p>
            <w:pPr>
              <w:jc w:val="center"/>
              <w:rPr>
                <w:b w:val="0"/>
                <w:sz w:val="16"/>
              </w:rPr>
            </w:pPr>
            <w:r>
              <w:rPr>
                <w:b w:val="0"/>
                <w:sz w:val="16"/>
              </w:rPr>
              <w:t>3A</w:t>
            </w:r>
          </w:p>
        </w:tc>
        <w:tc>
          <w:tcPr>
            <w:shd w:val="clear" w:color="auto" w:fill="C0C0C0"/>
            <w:noWrap w:val="0"/>
            <w:tcMar>
              <w:top w:w="20" w:type="dxa"/>
              <w:bottom w:w="20" w:type="dxa"/>
            </w:tcMar>
            <w:vAlign w:val="center"/>
          </w:tcPr>
          <w:p>
            <w:pPr>
              <w:jc w:val="center"/>
              <w:rPr>
                <w:b w:val="0"/>
                <w:sz w:val="16"/>
              </w:rPr>
            </w:pPr>
            <w:r>
              <w:rPr>
                <w:b w:val="0"/>
                <w:sz w:val="16"/>
              </w:rPr>
              <w:t>3B</w:t>
            </w:r>
          </w:p>
        </w:tc>
        <w:tc>
          <w:tcPr>
            <w:shd w:val="clear" w:color="auto" w:fill="C0C0C0"/>
            <w:noWrap w:val="0"/>
            <w:tcMar>
              <w:top w:w="20" w:type="dxa"/>
              <w:bottom w:w="20" w:type="dxa"/>
            </w:tcMar>
            <w:vAlign w:val="center"/>
          </w:tcPr>
          <w:p>
            <w:pPr>
              <w:jc w:val="center"/>
              <w:rPr>
                <w:b w:val="0"/>
                <w:sz w:val="16"/>
              </w:rPr>
            </w:pPr>
            <w:r>
              <w:rPr>
                <w:b w:val="0"/>
                <w:sz w:val="16"/>
              </w:rPr>
              <w:t>4A</w:t>
            </w:r>
          </w:p>
        </w:tc>
        <w:tc>
          <w:tcPr>
            <w:shd w:val="clear" w:color="auto" w:fill="C0C0C0"/>
            <w:noWrap w:val="0"/>
            <w:tcMar>
              <w:top w:w="20" w:type="dxa"/>
              <w:bottom w:w="20" w:type="dxa"/>
            </w:tcMar>
            <w:vAlign w:val="center"/>
          </w:tcPr>
          <w:p>
            <w:pPr>
              <w:jc w:val="center"/>
              <w:rPr>
                <w:b w:val="0"/>
                <w:sz w:val="16"/>
              </w:rPr>
            </w:pPr>
            <w:r>
              <w:rPr>
                <w:b w:val="0"/>
                <w:sz w:val="16"/>
              </w:rPr>
              <w:t>4B</w:t>
            </w:r>
          </w:p>
        </w:tc>
        <w:tc>
          <w:tcPr>
            <w:shd w:val="clear" w:color="auto" w:fill="C0C0C0"/>
            <w:noWrap w:val="0"/>
            <w:tcMar>
              <w:top w:w="20" w:type="dxa"/>
              <w:bottom w:w="20" w:type="dxa"/>
            </w:tcMar>
            <w:vAlign w:val="center"/>
          </w:tcPr>
          <w:p>
            <w:pPr>
              <w:jc w:val="center"/>
              <w:rPr>
                <w:b w:val="0"/>
                <w:sz w:val="16"/>
              </w:rPr>
            </w:pPr>
            <w:r>
              <w:rPr>
                <w:b w:val="0"/>
                <w:sz w:val="16"/>
              </w:rPr>
              <w:t>4C</w:t>
            </w:r>
          </w:p>
        </w:tc>
        <w:tc>
          <w:tcPr>
            <w:shd w:val="clear" w:color="auto" w:fill="C0C0C0"/>
            <w:noWrap w:val="0"/>
            <w:tcMar>
              <w:top w:w="20" w:type="dxa"/>
              <w:bottom w:w="20" w:type="dxa"/>
            </w:tcMar>
            <w:vAlign w:val="center"/>
          </w:tcPr>
          <w:p>
            <w:pPr>
              <w:jc w:val="center"/>
              <w:rPr>
                <w:b w:val="0"/>
                <w:sz w:val="16"/>
              </w:rPr>
            </w:pPr>
            <w:r>
              <w:rPr>
                <w:b w:val="0"/>
                <w:sz w:val="16"/>
              </w:rPr>
              <w:t>5A</w:t>
            </w:r>
          </w:p>
        </w:tc>
        <w:tc>
          <w:tcPr>
            <w:shd w:val="clear" w:color="auto" w:fill="C0C0C0"/>
            <w:noWrap w:val="0"/>
            <w:tcMar>
              <w:top w:w="20" w:type="dxa"/>
              <w:bottom w:w="20" w:type="dxa"/>
            </w:tcMar>
            <w:vAlign w:val="center"/>
          </w:tcPr>
          <w:p>
            <w:pPr>
              <w:jc w:val="center"/>
              <w:rPr>
                <w:b w:val="0"/>
                <w:sz w:val="16"/>
              </w:rPr>
            </w:pPr>
            <w:r>
              <w:rPr>
                <w:b w:val="0"/>
                <w:sz w:val="16"/>
              </w:rPr>
              <w:t>5B</w:t>
            </w:r>
          </w:p>
        </w:tc>
        <w:tc>
          <w:tcPr>
            <w:shd w:val="clear" w:color="auto" w:fill="C0C0C0"/>
            <w:noWrap w:val="0"/>
            <w:tcMar>
              <w:top w:w="20" w:type="dxa"/>
              <w:bottom w:w="20" w:type="dxa"/>
            </w:tcMar>
            <w:vAlign w:val="center"/>
          </w:tcPr>
          <w:p>
            <w:pPr>
              <w:jc w:val="center"/>
              <w:rPr>
                <w:b w:val="0"/>
                <w:sz w:val="16"/>
              </w:rPr>
            </w:pPr>
            <w:r>
              <w:rPr>
                <w:b w:val="0"/>
                <w:sz w:val="16"/>
              </w:rPr>
              <w:t>5C</w:t>
            </w:r>
          </w:p>
        </w:tc>
        <w:tc>
          <w:tcPr>
            <w:shd w:val="clear" w:color="auto" w:fill="C0C0C0"/>
            <w:noWrap w:val="0"/>
            <w:tcMar>
              <w:top w:w="20" w:type="dxa"/>
              <w:bottom w:w="20" w:type="dxa"/>
            </w:tcMar>
            <w:vAlign w:val="center"/>
          </w:tcPr>
          <w:p>
            <w:pPr>
              <w:jc w:val="center"/>
              <w:rPr>
                <w:b w:val="0"/>
                <w:sz w:val="16"/>
              </w:rPr>
            </w:pPr>
            <w:r>
              <w:rPr>
                <w:b w:val="0"/>
                <w:sz w:val="16"/>
              </w:rPr>
              <w:t>5D</w:t>
            </w:r>
          </w:p>
        </w:tc>
        <w:tc>
          <w:tcPr>
            <w:shd w:val="clear" w:color="auto" w:fill="C0C0C0"/>
            <w:noWrap w:val="0"/>
            <w:tcMar>
              <w:top w:w="20" w:type="dxa"/>
              <w:bottom w:w="20" w:type="dxa"/>
            </w:tcMar>
            <w:vAlign w:val="center"/>
          </w:tcPr>
          <w:p>
            <w:pPr>
              <w:jc w:val="center"/>
              <w:rPr>
                <w:b w:val="0"/>
                <w:sz w:val="16"/>
              </w:rPr>
            </w:pPr>
            <w:r>
              <w:rPr>
                <w:b w:val="0"/>
                <w:sz w:val="16"/>
              </w:rPr>
              <w:t>5E</w:t>
            </w:r>
          </w:p>
        </w:tc>
        <w:tc>
          <w:tcPr>
            <w:shd w:val="clear" w:color="auto" w:fill="C0C0C0"/>
            <w:noWrap w:val="0"/>
            <w:tcMar>
              <w:top w:w="20" w:type="dxa"/>
              <w:bottom w:w="20" w:type="dxa"/>
            </w:tcMar>
            <w:vAlign w:val="center"/>
          </w:tcPr>
          <w:p>
            <w:pPr>
              <w:jc w:val="center"/>
              <w:rPr>
                <w:b w:val="0"/>
                <w:sz w:val="16"/>
              </w:rPr>
            </w:pPr>
            <w:r>
              <w:rPr>
                <w:b w:val="0"/>
                <w:sz w:val="16"/>
              </w:rPr>
              <w:t>6A</w:t>
            </w:r>
          </w:p>
        </w:tc>
        <w:tc>
          <w:tcPr>
            <w:shd w:val="clear" w:color="auto" w:fill="C0C0C0"/>
            <w:noWrap w:val="0"/>
            <w:tcMar>
              <w:top w:w="20" w:type="dxa"/>
              <w:bottom w:w="20" w:type="dxa"/>
            </w:tcMar>
            <w:vAlign w:val="center"/>
          </w:tcPr>
          <w:p>
            <w:pPr>
              <w:jc w:val="center"/>
              <w:rPr>
                <w:b w:val="0"/>
                <w:sz w:val="16"/>
              </w:rPr>
            </w:pPr>
            <w:r>
              <w:rPr>
                <w:b w:val="0"/>
                <w:sz w:val="16"/>
              </w:rPr>
              <w:t>6B</w:t>
            </w:r>
          </w:p>
        </w:tc>
        <w:tc>
          <w:tcPr>
            <w:shd w:val="clear" w:color="auto" w:fill="C0C0C0"/>
            <w:noWrap w:val="0"/>
            <w:tcMar>
              <w:top w:w="20" w:type="dxa"/>
              <w:bottom w:w="20" w:type="dxa"/>
            </w:tcMar>
            <w:vAlign w:val="center"/>
          </w:tcPr>
          <w:p>
            <w:pPr>
              <w:jc w:val="center"/>
              <w:rPr>
                <w:b w:val="0"/>
                <w:sz w:val="16"/>
              </w:rPr>
            </w:pPr>
            <w:r>
              <w:rPr>
                <w:b w:val="0"/>
                <w:sz w:val="16"/>
              </w:rPr>
              <w:t>6C</w:t>
            </w:r>
          </w:p>
        </w:tc>
        <w:tc>
          <w:tcPr>
            <w:shd w:val="clear" w:color="auto" w:fill="C0C0C0"/>
            <w:noWrap w:val="0"/>
            <w:tcMar>
              <w:top w:w="20" w:type="dxa"/>
              <w:bottom w:w="20" w:type="dxa"/>
            </w:tcMar>
            <w:vAlign w:val="center"/>
          </w:tcPr>
          <w:p>
            <w:pPr>
              <w:jc w:val="center"/>
              <w:rPr>
                <w:b w:val="0"/>
                <w:sz w:val="16"/>
              </w:rPr>
            </w:pPr>
            <w:r>
              <w:rPr>
                <w:b w:val="0"/>
                <w:sz w:val="16"/>
              </w:rPr>
              <w:t>Околна среда</w:t>
            </w:r>
          </w:p>
        </w:tc>
        <w:tc>
          <w:tcPr>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rPr>
                <w:b w:val="0"/>
                <w:sz w:val="16"/>
              </w:rPr>
            </w:pP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r>
              <w:rPr>
                <w:b/>
                <w:sz w:val="16"/>
              </w:rPr>
              <w:t>X</w:t>
            </w: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p>
        </w:tc>
        <w:tc>
          <w:tcPr>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96" w:name="_Toc256000048"/>
      <w:bookmarkStart w:id="97" w:name="_Toc256000311"/>
      <w:r>
        <w:rPr>
          <w:b w:val="0"/>
        </w:rPr>
        <w:t>1A-1: Повишаване на осведомеността</w:t>
      </w:r>
      <w:bookmarkEnd w:id="97"/>
      <w:bookmarkEnd w:id="9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8"/>
              </w:numPr>
              <w:rPr>
                <w:b w:val="0"/>
              </w:rPr>
            </w:pPr>
            <w:r>
              <w:rPr>
                <w:b w:val="0"/>
              </w:rPr>
              <w:t>1А) Стимулиране на иновациите, сътрудничеството и развитието на базата от знания в селските райони</w:t>
            </w:r>
          </w:p>
          <w:p>
            <w:pPr>
              <w:numPr>
                <w:numId w:val="28"/>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8"/>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8"/>
              </w:numPr>
              <w:rPr>
                <w:b w:val="0"/>
              </w:rPr>
            </w:pPr>
            <w:r>
              <w:rPr>
                <w:b w:val="0"/>
              </w:rPr>
              <w:t>4В) Предотвратяване на ерозията на почвите и подобряване на управлението им</w:t>
            </w:r>
          </w:p>
          <w:p>
            <w:pPr>
              <w:numPr>
                <w:numId w:val="28"/>
              </w:numPr>
              <w:rPr>
                <w:b w:val="0"/>
              </w:rPr>
            </w:pPr>
            <w:r>
              <w:rPr>
                <w:b w:val="0"/>
              </w:rPr>
              <w:t xml:space="preserve">5А) Повишаване на ефективността при потреблението на вода в селското стопанство </w:t>
            </w:r>
          </w:p>
          <w:p>
            <w:pPr>
              <w:numPr>
                <w:numId w:val="28"/>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8"/>
              </w:numPr>
              <w:rPr>
                <w:b w:val="0"/>
              </w:rPr>
            </w:pPr>
            <w:r>
              <w:rPr>
                <w:b w:val="0"/>
              </w:rPr>
              <w:t>5Г) Намаляване на емисиите на парникови газове и амоняк от селското стопанство</w:t>
            </w:r>
          </w:p>
          <w:p>
            <w:pPr>
              <w:numPr>
                <w:numId w:val="28"/>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FFFFFF"/>
            <w:noWrap w:val="0"/>
            <w:tcMar>
              <w:top w:w="20" w:type="dxa"/>
              <w:bottom w:w="20" w:type="dxa"/>
            </w:tcMar>
            <w:vAlign w:val="bottom"/>
          </w:tcPr>
          <w:p>
            <w:pPr>
              <w:numPr>
                <w:numId w:val="29"/>
              </w:numPr>
              <w:rPr>
                <w:b w:val="0"/>
              </w:rPr>
            </w:pPr>
            <w:r>
              <w:rPr>
                <w:b w:val="0"/>
              </w:rPr>
              <w:t>Околна среда</w:t>
            </w:r>
          </w:p>
          <w:p>
            <w:pPr>
              <w:numPr>
                <w:numId w:val="2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98" w:name="_Toc256000049"/>
      <w:bookmarkStart w:id="99" w:name="_Toc256000312"/>
      <w:r>
        <w:rPr>
          <w:b w:val="0"/>
        </w:rPr>
        <w:t>1A-2: Повишаване на капацитета за предоставяне на съветнически услуги</w:t>
      </w:r>
      <w:bookmarkEnd w:id="99"/>
      <w:bookmarkEnd w:id="9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0"/>
              </w:numPr>
              <w:rPr>
                <w:b w:val="0"/>
              </w:rPr>
            </w:pPr>
            <w:r>
              <w:rPr>
                <w:b w:val="0"/>
              </w:rPr>
              <w:t>1А) Стимулиране на иновациите, сътрудничеството и развитието на базата от знания в селските райони</w:t>
            </w:r>
          </w:p>
          <w:p>
            <w:pPr>
              <w:numPr>
                <w:numId w:val="3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0"/>
              </w:numPr>
              <w:rPr>
                <w:b w:val="0"/>
              </w:rPr>
            </w:pPr>
            <w:r>
              <w:rPr>
                <w:b w:val="0"/>
              </w:rPr>
              <w:t xml:space="preserve">4Б) Подобряване управлението на водите, включително управлението на торовете и пестицидите </w:t>
            </w:r>
          </w:p>
          <w:p>
            <w:pPr>
              <w:numPr>
                <w:numId w:val="30"/>
              </w:numPr>
              <w:rPr>
                <w:b w:val="0"/>
              </w:rPr>
            </w:pPr>
            <w:r>
              <w:rPr>
                <w:b w:val="0"/>
              </w:rPr>
              <w:t>4В) Предотвратяване на ерозията на почвите и подобряване на управлението им</w:t>
            </w:r>
          </w:p>
          <w:p>
            <w:pPr>
              <w:numPr>
                <w:numId w:val="30"/>
              </w:numPr>
              <w:rPr>
                <w:b w:val="0"/>
              </w:rPr>
            </w:pPr>
            <w:r>
              <w:rPr>
                <w:b w:val="0"/>
              </w:rPr>
              <w:t xml:space="preserve">5А) Повишаване на ефективността при потреблението на вода в селското стопанство </w:t>
            </w:r>
          </w:p>
          <w:p>
            <w:pPr>
              <w:numPr>
                <w:numId w:val="3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0"/>
              </w:numPr>
              <w:rPr>
                <w:b w:val="0"/>
              </w:rPr>
            </w:pPr>
            <w:r>
              <w:rPr>
                <w:b w:val="0"/>
              </w:rPr>
              <w:t>5Г) Намаляване на емисиите на парникови газове и амоняк от селското стопанство</w:t>
            </w:r>
          </w:p>
          <w:p>
            <w:pPr>
              <w:numPr>
                <w:numId w:val="30"/>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1"/>
              </w:numPr>
              <w:rPr>
                <w:b w:val="0"/>
              </w:rPr>
            </w:pPr>
            <w:r>
              <w:rPr>
                <w:b w:val="0"/>
              </w:rPr>
              <w:t>Околна среда</w:t>
            </w:r>
          </w:p>
          <w:p>
            <w:pPr>
              <w:numPr>
                <w:numId w:val="31"/>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0" w:name="_Toc256000050"/>
      <w:bookmarkStart w:id="101" w:name="_Toc256000313"/>
      <w:r>
        <w:rPr>
          <w:b w:val="0"/>
        </w:rPr>
        <w:t>1Б-1: Подобряване на организацията за трансфер на знания и иновации</w:t>
      </w:r>
      <w:bookmarkEnd w:id="101"/>
      <w:bookmarkEnd w:id="10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2"/>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2"/>
              </w:numPr>
              <w:rPr>
                <w:b w:val="0"/>
              </w:rPr>
            </w:pPr>
            <w:r>
              <w:rPr>
                <w:b w:val="0"/>
              </w:rPr>
              <w:t xml:space="preserve">4Б) Подобряване управлението на водите, включително управлението на торовете и пестицидите </w:t>
            </w:r>
          </w:p>
          <w:p>
            <w:pPr>
              <w:numPr>
                <w:numId w:val="32"/>
              </w:numPr>
              <w:rPr>
                <w:b w:val="0"/>
              </w:rPr>
            </w:pPr>
            <w:r>
              <w:rPr>
                <w:b w:val="0"/>
              </w:rPr>
              <w:t>4В) Предотвратяване на ерозията на почвите и подобряване на управлението им</w:t>
            </w:r>
          </w:p>
          <w:p>
            <w:pPr>
              <w:numPr>
                <w:numId w:val="32"/>
              </w:numPr>
              <w:rPr>
                <w:b w:val="0"/>
              </w:rPr>
            </w:pPr>
            <w:r>
              <w:rPr>
                <w:b w:val="0"/>
              </w:rPr>
              <w:t xml:space="preserve">5А) Повишаване на ефективността при потреблението на вода в селското стопанство </w:t>
            </w:r>
          </w:p>
          <w:p>
            <w:pPr>
              <w:numPr>
                <w:numId w:val="3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2"/>
              </w:numPr>
              <w:rPr>
                <w:b w:val="0"/>
              </w:rPr>
            </w:pPr>
            <w:r>
              <w:rPr>
                <w:b w:val="0"/>
              </w:rPr>
              <w:t>5Г) Намаляване на емисиите на парникови газове и амоняк от селското стопанство</w:t>
            </w:r>
          </w:p>
          <w:p>
            <w:pPr>
              <w:numPr>
                <w:numId w:val="32"/>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3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3"/>
              </w:numPr>
              <w:rPr>
                <w:b w:val="0"/>
              </w:rPr>
            </w:pPr>
            <w:r>
              <w:rPr>
                <w:b w:val="0"/>
              </w:rPr>
              <w:t>Околна среда</w:t>
            </w:r>
          </w:p>
          <w:p>
            <w:pPr>
              <w:numPr>
                <w:numId w:val="3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2" w:name="_Toc256000051"/>
      <w:bookmarkStart w:id="103" w:name="_Toc256000314"/>
      <w:r>
        <w:rPr>
          <w:b w:val="0"/>
        </w:rPr>
        <w:t>1Б-2: Подобряване на капацитета на участниците в организацията за трансфер на знания и иновации</w:t>
      </w:r>
      <w:bookmarkEnd w:id="103"/>
      <w:bookmarkEnd w:id="10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4"/>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4" w:name="_Toc256000052"/>
      <w:bookmarkStart w:id="105" w:name="_Toc256000315"/>
      <w:r>
        <w:rPr>
          <w:b w:val="0"/>
        </w:rPr>
        <w:t>1В-1: Повишаване квалификацията и управленските умения</w:t>
      </w:r>
      <w:bookmarkEnd w:id="105"/>
      <w:bookmarkEnd w:id="10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5"/>
              </w:numPr>
              <w:rPr>
                <w:b w:val="0"/>
              </w:rPr>
            </w:pPr>
            <w:r>
              <w:rPr>
                <w:b w:val="0"/>
              </w:rPr>
              <w:t xml:space="preserve">4Б) Подобряване управлението на водите, включително управлението на торовете и пестицидите </w:t>
            </w:r>
          </w:p>
          <w:p>
            <w:pPr>
              <w:numPr>
                <w:numId w:val="35"/>
              </w:numPr>
              <w:rPr>
                <w:b w:val="0"/>
              </w:rPr>
            </w:pPr>
            <w:r>
              <w:rPr>
                <w:b w:val="0"/>
              </w:rPr>
              <w:t>4В) Предотвратяване на ерозията на почвите и подобряване на управлението им</w:t>
            </w:r>
          </w:p>
          <w:p>
            <w:pPr>
              <w:numPr>
                <w:numId w:val="35"/>
              </w:numPr>
              <w:rPr>
                <w:b w:val="0"/>
              </w:rPr>
            </w:pPr>
            <w:r>
              <w:rPr>
                <w:b w:val="0"/>
              </w:rPr>
              <w:t xml:space="preserve">5А) Повишаване на ефективността при потреблението на вода в селското стопанство </w:t>
            </w:r>
          </w:p>
          <w:p>
            <w:pPr>
              <w:numPr>
                <w:numId w:val="3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5"/>
              </w:numPr>
              <w:rPr>
                <w:b w:val="0"/>
              </w:rPr>
            </w:pPr>
            <w:r>
              <w:rPr>
                <w:b w:val="0"/>
              </w:rPr>
              <w:t>5Г) Намаляване на емисиите на парникови газове и амоняк от селското стопанство</w:t>
            </w:r>
          </w:p>
          <w:p>
            <w:pPr>
              <w:numPr>
                <w:numId w:val="3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6"/>
              </w:numPr>
              <w:rPr>
                <w:b w:val="0"/>
              </w:rPr>
            </w:pPr>
            <w:r>
              <w:rPr>
                <w:b w:val="0"/>
              </w:rPr>
              <w:t>Околна среда</w:t>
            </w:r>
          </w:p>
          <w:p>
            <w:pPr>
              <w:numPr>
                <w:numId w:val="36"/>
              </w:numPr>
              <w:rPr>
                <w:b w:val="0"/>
              </w:rPr>
            </w:pPr>
            <w:r>
              <w:rPr>
                <w:b w:val="0"/>
              </w:rPr>
              <w:t>Смекчаване на последиците от изменението на климата и приспособяване към тях</w:t>
            </w:r>
          </w:p>
          <w:p>
            <w:pPr>
              <w:numPr>
                <w:numId w:val="3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6" w:name="_Toc256000053"/>
      <w:bookmarkStart w:id="107" w:name="_Toc256000316"/>
      <w:r>
        <w:rPr>
          <w:b w:val="0"/>
        </w:rPr>
        <w:t>2А-1: Повишаване на конкурентоспособността на стопанства в секторите мляко, месо, плодове и зеленчуци и етерично-маслени и лекар</w:t>
      </w:r>
      <w:bookmarkEnd w:id="107"/>
      <w:bookmarkEnd w:id="10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8"/>
              </w:numPr>
              <w:rPr>
                <w:b w:val="0"/>
              </w:rPr>
            </w:pPr>
            <w:r>
              <w:rPr>
                <w:b w:val="0"/>
              </w:rPr>
              <w:t>Околна среда</w:t>
            </w:r>
          </w:p>
          <w:p>
            <w:pPr>
              <w:numPr>
                <w:numId w:val="38"/>
              </w:numPr>
              <w:rPr>
                <w:b w:val="0"/>
              </w:rPr>
            </w:pPr>
            <w:r>
              <w:rPr>
                <w:b w:val="0"/>
              </w:rPr>
              <w:t>Смекчаване на последиците от изменението на климата и приспособяване към тях</w:t>
            </w:r>
          </w:p>
          <w:p>
            <w:pPr>
              <w:numPr>
                <w:numId w:val="3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08" w:name="_Toc256000054"/>
      <w:bookmarkStart w:id="109" w:name="_Toc256000317"/>
      <w:r>
        <w:rPr>
          <w:b w:val="0"/>
        </w:rPr>
        <w:t>2А-2: Повишаване на жизнеспособността и устойчивостта на малките земеделски стопанства</w:t>
      </w:r>
      <w:bookmarkEnd w:id="109"/>
      <w:bookmarkEnd w:id="10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0"/>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0" w:name="_Toc256000055"/>
      <w:bookmarkStart w:id="111" w:name="_Toc256000318"/>
      <w:r>
        <w:rPr>
          <w:b w:val="0"/>
        </w:rPr>
        <w:t>2А-3: Подобряване на достъпа до външни финансови средства</w:t>
      </w:r>
      <w:bookmarkEnd w:id="111"/>
      <w:bookmarkEnd w:id="11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1"/>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1"/>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1"/>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2" w:name="_Toc256000056"/>
      <w:bookmarkStart w:id="113" w:name="_Toc256000319"/>
      <w:r>
        <w:rPr>
          <w:b w:val="0"/>
        </w:rPr>
        <w:t>2А-4: Ускоряване на модернизацията и технологичното обновление на земеделските стопанства</w:t>
      </w:r>
      <w:bookmarkEnd w:id="113"/>
      <w:bookmarkEnd w:id="11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4" w:name="_Toc256000057"/>
      <w:bookmarkStart w:id="115" w:name="_Toc256000320"/>
      <w:r>
        <w:rPr>
          <w:b w:val="0"/>
        </w:rPr>
        <w:t>2А-5 Ускоряване на процеса на комасация на земята</w:t>
      </w:r>
      <w:bookmarkEnd w:id="115"/>
      <w:bookmarkEnd w:id="11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6" w:name="_Toc256000058"/>
      <w:bookmarkStart w:id="117" w:name="_Toc256000321"/>
      <w:r>
        <w:rPr>
          <w:b w:val="0"/>
        </w:rPr>
        <w:t>2Б-1 Увеличаване на броя и развитие на стопанствата на млади земеделски стопани с подходяща квалификация</w:t>
      </w:r>
      <w:bookmarkEnd w:id="117"/>
      <w:bookmarkEnd w:id="11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18" w:name="_Toc256000059"/>
      <w:bookmarkStart w:id="119" w:name="_Toc256000322"/>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119"/>
      <w:bookmarkEnd w:id="11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7"/>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0" w:name="_Toc256000060"/>
      <w:bookmarkStart w:id="121" w:name="_Toc256000323"/>
      <w:r>
        <w:rPr>
          <w:b w:val="0"/>
        </w:rPr>
        <w:t>3А-1 Подобряване на вертикалното и хоризонталното сътрудничество между земеделските производители, преработватели и търговци</w:t>
      </w:r>
      <w:bookmarkEnd w:id="121"/>
      <w:bookmarkEnd w:id="12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4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2" w:name="_Toc256000061"/>
      <w:bookmarkStart w:id="123" w:name="_Toc256000324"/>
      <w:r>
        <w:rPr>
          <w:b w:val="0"/>
        </w:rPr>
        <w:t>3А-2 Ускоряване на иновациите, подобряване на енергийната ефективност и технологичното обновление в хранителната промишленост</w:t>
      </w:r>
      <w:bookmarkEnd w:id="123"/>
      <w:bookmarkEnd w:id="12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50"/>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1"/>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4" w:name="_Toc256000062"/>
      <w:bookmarkStart w:id="125" w:name="_Toc256000325"/>
      <w:r>
        <w:rPr>
          <w:b w:val="0"/>
        </w:rPr>
        <w:t>3А-3: Подобряване условията на отглеждане на животните и повишаване качеството на произвежданите животински продукти</w:t>
      </w:r>
      <w:bookmarkEnd w:id="125"/>
      <w:bookmarkEnd w:id="12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6" w:name="_Toc256000063"/>
      <w:bookmarkStart w:id="127" w:name="_Toc256000326"/>
      <w:r>
        <w:rPr>
          <w:b w:val="0"/>
        </w:rPr>
        <w:t>3А-4 Скъсяване веригите на доставки, насърчаване на местните пазари и подобряване на маркетинга на земеделски продукти</w:t>
      </w:r>
      <w:bookmarkEnd w:id="127"/>
      <w:bookmarkEnd w:id="12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3"/>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3"/>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3"/>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28" w:name="_Toc256000064"/>
      <w:bookmarkStart w:id="129" w:name="_Toc256000327"/>
      <w:r>
        <w:rPr>
          <w:b w:val="0"/>
        </w:rPr>
        <w:t>3Б-1: Подобряване на управлението на риска в земеделските стопанства</w:t>
      </w:r>
      <w:bookmarkEnd w:id="129"/>
      <w:bookmarkEnd w:id="12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4"/>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чрез национални средства и политики.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0" w:name="_Toc256000065"/>
      <w:bookmarkStart w:id="131" w:name="_Toc256000328"/>
      <w:r>
        <w:rPr>
          <w:b w:val="0"/>
        </w:rPr>
        <w:t>4A-1: Съхранение на дела на полу-естествените тревни местообитания с висока природна стойност</w:t>
      </w:r>
      <w:bookmarkEnd w:id="131"/>
      <w:bookmarkEnd w:id="13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2" w:name="_Toc256000066"/>
      <w:bookmarkStart w:id="133" w:name="_Toc256000329"/>
      <w:r>
        <w:rPr>
          <w:b w:val="0"/>
        </w:rPr>
        <w:t>4A-2: Съхранение и възстановяване на ценните местообитания и видове в местата по Натура 2000</w:t>
      </w:r>
      <w:bookmarkEnd w:id="133"/>
      <w:bookmarkEnd w:id="13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4" w:name="_Toc256000067"/>
      <w:bookmarkStart w:id="135" w:name="_Toc256000330"/>
      <w:r>
        <w:rPr>
          <w:b w:val="0"/>
        </w:rPr>
        <w:t>4А-3: Съхранение на дела на горите с висока консервационна стойност</w:t>
      </w:r>
      <w:bookmarkEnd w:id="135"/>
      <w:bookmarkEnd w:id="13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59"/>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6" w:name="_Toc256000068"/>
      <w:bookmarkStart w:id="137" w:name="_Toc256000331"/>
      <w:r>
        <w:rPr>
          <w:b w:val="0"/>
        </w:rPr>
        <w:t>4А-4: Опазване на застрашените от изчезване редки породи животни  и традиционни, застрашени от изчезване сортове растения</w:t>
      </w:r>
      <w:bookmarkEnd w:id="137"/>
      <w:bookmarkEnd w:id="13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0"/>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38" w:name="_Toc256000069"/>
      <w:bookmarkStart w:id="139" w:name="_Toc256000332"/>
      <w:r>
        <w:rPr>
          <w:b w:val="0"/>
        </w:rPr>
        <w:t>4А-5: Подпомагане на земеделието в райони с природни ограничения</w:t>
      </w:r>
      <w:bookmarkEnd w:id="139"/>
      <w:bookmarkEnd w:id="13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1"/>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40" w:name="_Toc256000070"/>
      <w:bookmarkStart w:id="141" w:name="_Toc256000333"/>
      <w:r>
        <w:rPr>
          <w:b w:val="0"/>
        </w:rPr>
        <w:t>4А-6: Въвеждане на системи за превенция на пожарите в горите</w:t>
      </w:r>
      <w:bookmarkEnd w:id="141"/>
      <w:bookmarkEnd w:id="14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3"/>
              </w:numPr>
              <w:rPr>
                <w:b w:val="0"/>
              </w:rPr>
            </w:pPr>
            <w:r>
              <w:rPr>
                <w:b w:val="0"/>
              </w:rPr>
              <w:t>Околна среда</w:t>
            </w:r>
          </w:p>
          <w:p>
            <w:pPr>
              <w:numPr>
                <w:numId w:val="6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42" w:name="_Toc256000071"/>
      <w:bookmarkStart w:id="143" w:name="_Toc256000334"/>
      <w:r>
        <w:rPr>
          <w:b w:val="0"/>
        </w:rPr>
        <w:t>4Б-1: Предотвратяване и намаляване на замърсяването от селското стопанство</w:t>
      </w:r>
      <w:bookmarkEnd w:id="143"/>
      <w:bookmarkEnd w:id="14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4"/>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144" w:name="_Toc256000072"/>
      <w:bookmarkStart w:id="145" w:name="_Toc256000335"/>
      <w:r>
        <w:rPr>
          <w:b w:val="0"/>
        </w:rPr>
        <w:t>4Б-2:Увеличаване на дела на биологичното производство</w:t>
      </w:r>
      <w:bookmarkEnd w:id="145"/>
      <w:bookmarkEnd w:id="14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5"/>
              </w:numPr>
              <w:rPr>
                <w:b w:val="0"/>
              </w:rPr>
            </w:pPr>
            <w:r>
              <w:rPr>
                <w:b w:val="0"/>
              </w:rPr>
              <w:t xml:space="preserve">4Б) Подобряване управлението на водите, включително управлението на торовете и пестицидите </w:t>
            </w:r>
          </w:p>
          <w:p>
            <w:pPr>
              <w:numPr>
                <w:numId w:val="65"/>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46" w:name="_Toc256000073"/>
      <w:bookmarkStart w:id="147" w:name="_Toc256000336"/>
      <w:r>
        <w:rPr>
          <w:b w:val="0"/>
        </w:rPr>
        <w:t>4В-1: Съхранение и увеличаване на почвеното плодородие</w:t>
      </w:r>
      <w:bookmarkEnd w:id="147"/>
      <w:bookmarkEnd w:id="14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6"/>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48" w:name="_Toc256000074"/>
      <w:bookmarkStart w:id="149" w:name="_Toc256000337"/>
      <w:r>
        <w:rPr>
          <w:b w:val="0"/>
        </w:rPr>
        <w:t>5А-1: Възстановяване и реконструкция на хидромелиоративната инфраструктура</w:t>
      </w:r>
      <w:bookmarkEnd w:id="149"/>
      <w:bookmarkEnd w:id="1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7"/>
              </w:numPr>
              <w:rPr>
                <w:b w:val="0"/>
              </w:rPr>
            </w:pPr>
            <w:r>
              <w:rPr>
                <w:b w:val="0"/>
              </w:rPr>
              <w:t xml:space="preserve">4Б) Подобряване управлението на водите, включително управлението на торовете и пестицидите </w:t>
            </w:r>
          </w:p>
          <w:p>
            <w:pPr>
              <w:numPr>
                <w:numId w:val="67"/>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8"/>
              </w:numPr>
              <w:rPr>
                <w:b w:val="0"/>
              </w:rPr>
            </w:pPr>
            <w:r>
              <w:rPr>
                <w:b w:val="0"/>
              </w:rPr>
              <w:t>Околна среда</w:t>
            </w:r>
          </w:p>
          <w:p>
            <w:pPr>
              <w:numPr>
                <w:numId w:val="6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0" w:name="_Toc256000075"/>
      <w:bookmarkStart w:id="151" w:name="_Toc256000338"/>
      <w:r>
        <w:rPr>
          <w:b w:val="0"/>
        </w:rPr>
        <w:t>5Б-1: Повишаване на енергийната ефективност</w:t>
      </w:r>
      <w:bookmarkEnd w:id="151"/>
      <w:bookmarkEnd w:id="1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6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9"/>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2" w:name="_Toc256000076"/>
      <w:bookmarkStart w:id="153" w:name="_Toc256000339"/>
      <w:r>
        <w:rPr>
          <w:b w:val="0"/>
        </w:rPr>
        <w:t>5В-1: Изграждане на нови и реконструкция на съществуващи мощности за преработка на отпадъци остатъци и други суровини в био енер</w:t>
      </w:r>
      <w:bookmarkEnd w:id="153"/>
      <w:bookmarkEnd w:id="1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0"/>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4" w:name="_Toc256000077"/>
      <w:bookmarkStart w:id="155" w:name="_Toc256000340"/>
      <w:r>
        <w:rPr>
          <w:b w:val="0"/>
        </w:rPr>
        <w:t>5В-2: Увеличаване на площите с бързорастящи храсти и дървесни видове за производство на биоенергия</w:t>
      </w:r>
      <w:bookmarkEnd w:id="155"/>
      <w:bookmarkEnd w:id="1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1"/>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6" w:name="_Toc256000078"/>
      <w:bookmarkStart w:id="157" w:name="_Toc256000341"/>
      <w:r>
        <w:rPr>
          <w:b w:val="0"/>
        </w:rPr>
        <w:t>5В-3: Възползване от принципите на биоикономиката за повишаване на ресурсната ефективност и добавената стойност</w:t>
      </w:r>
      <w:bookmarkEnd w:id="157"/>
      <w:bookmarkEnd w:id="1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7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3"/>
              </w:numPr>
              <w:rPr>
                <w:b w:val="0"/>
              </w:rPr>
            </w:pPr>
            <w:r>
              <w:rPr>
                <w:b w:val="0"/>
              </w:rPr>
              <w:t>Околна среда</w:t>
            </w:r>
          </w:p>
          <w:p>
            <w:pPr>
              <w:numPr>
                <w:numId w:val="73"/>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8" w:name="_Toc256000079"/>
      <w:bookmarkStart w:id="159" w:name="_Toc256000342"/>
      <w:r>
        <w:rPr>
          <w:b w:val="0"/>
        </w:rPr>
        <w:t>5Г-1: Принос към Третия национален план за действие по изменение на климата за намаляване на емисиите от земеделски източници</w:t>
      </w:r>
      <w:bookmarkEnd w:id="159"/>
      <w:bookmarkEnd w:id="1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4"/>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5"/>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0" w:name="_Toc256000080"/>
      <w:bookmarkStart w:id="161" w:name="_Toc256000343"/>
      <w:r>
        <w:rPr>
          <w:b w:val="0"/>
        </w:rPr>
        <w:t>5Д-1: Увеличаване лесистостта и възстановяване на горския потенциал</w:t>
      </w:r>
      <w:bookmarkEnd w:id="161"/>
      <w:bookmarkEnd w:id="1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6"/>
              </w:numPr>
              <w:rPr>
                <w:b w:val="0"/>
              </w:rPr>
            </w:pPr>
            <w:r>
              <w:rPr>
                <w:b w:val="0"/>
              </w:rPr>
              <w:t>4В) Предотвратяване на ерозията на почвите и подобряване на управлението им</w:t>
            </w:r>
          </w:p>
          <w:p>
            <w:pPr>
              <w:numPr>
                <w:numId w:val="76"/>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7"/>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2" w:name="_Toc256000081"/>
      <w:bookmarkStart w:id="163" w:name="_Toc256000344"/>
      <w:r>
        <w:rPr>
          <w:b w:val="0"/>
        </w:rPr>
        <w:t>6А-1: Повишаване на инвестициите в неземеделските сектори на селските райони</w:t>
      </w:r>
      <w:bookmarkEnd w:id="163"/>
      <w:bookmarkEnd w:id="1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79"/>
              </w:numPr>
              <w:rPr>
                <w:b w:val="0"/>
              </w:rPr>
            </w:pPr>
            <w:r>
              <w:rPr>
                <w:b w:val="0"/>
              </w:rPr>
              <w:t>Околна среда</w:t>
            </w:r>
          </w:p>
          <w:p>
            <w:pPr>
              <w:numPr>
                <w:numId w:val="79"/>
              </w:numPr>
              <w:rPr>
                <w:b w:val="0"/>
              </w:rPr>
            </w:pPr>
            <w:r>
              <w:rPr>
                <w:b w:val="0"/>
              </w:rPr>
              <w:t>Смекчаване на последиците от изменението на климата и приспособяване към тях</w:t>
            </w:r>
          </w:p>
          <w:p>
            <w:pPr>
              <w:numPr>
                <w:numId w:val="79"/>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4" w:name="_Toc256000082"/>
      <w:bookmarkStart w:id="165" w:name="_Toc256000345"/>
      <w:r>
        <w:rPr>
          <w:b w:val="0"/>
        </w:rPr>
        <w:t>6А-2: Развитие на предприемачеството в селските райони</w:t>
      </w:r>
      <w:bookmarkEnd w:id="165"/>
      <w:bookmarkEnd w:id="1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6" w:name="_Toc256000083"/>
      <w:bookmarkStart w:id="167" w:name="_Toc256000346"/>
      <w:r>
        <w:rPr>
          <w:b w:val="0"/>
        </w:rPr>
        <w:t>6Б-1: Подобряване на социалната инфраструктура</w:t>
      </w:r>
      <w:bookmarkEnd w:id="167"/>
      <w:bookmarkEnd w:id="1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68" w:name="_Toc256000084"/>
      <w:bookmarkStart w:id="169" w:name="_Toc256000347"/>
      <w:r>
        <w:rPr>
          <w:b w:val="0"/>
        </w:rPr>
        <w:t>6Б-2: Подобряване на техническата инфраструктура</w:t>
      </w:r>
      <w:bookmarkEnd w:id="169"/>
      <w:bookmarkEnd w:id="1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2"/>
              </w:numPr>
              <w:rPr>
                <w:b w:val="0"/>
              </w:rPr>
            </w:pPr>
            <w:r>
              <w:rPr>
                <w:b w:val="0"/>
              </w:rPr>
              <w:t xml:space="preserve">5А) Повишаване на ефективността при потреблението на вода в селското стопанство </w:t>
            </w:r>
          </w:p>
          <w:p>
            <w:pPr>
              <w:numPr>
                <w:numId w:val="82"/>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2"/>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70" w:name="_Toc256000085"/>
      <w:bookmarkStart w:id="171" w:name="_Toc256000348"/>
      <w:r>
        <w:rPr>
          <w:b w:val="0"/>
        </w:rPr>
        <w:t>6Б-3: Подобряване на туристическата инфраструктурата</w:t>
      </w:r>
      <w:bookmarkEnd w:id="171"/>
      <w:bookmarkEnd w:id="1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3"/>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72" w:name="_Toc256000086"/>
      <w:bookmarkStart w:id="173" w:name="_Toc256000349"/>
      <w:r>
        <w:rPr>
          <w:b w:val="0"/>
        </w:rPr>
        <w:t>6Б-4: Развитие на местния капацитет за устойчиво развитие</w:t>
      </w:r>
      <w:bookmarkEnd w:id="173"/>
      <w:bookmarkEnd w:id="1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4"/>
              </w:numPr>
              <w:rPr>
                <w:b w:val="0"/>
              </w:rPr>
            </w:pPr>
            <w:r>
              <w:rPr>
                <w:b w:val="0"/>
              </w:rPr>
              <w:t>1А) Стимулиране на иновациите, сътрудничеството и развитието на базата от знания в селските райони</w:t>
            </w:r>
          </w:p>
          <w:p>
            <w:pPr>
              <w:numPr>
                <w:numId w:val="8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4"/>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5"/>
              </w:numPr>
              <w:rPr>
                <w:b w:val="0"/>
              </w:rPr>
            </w:pPr>
            <w:r>
              <w:rPr>
                <w:b w:val="0"/>
              </w:rPr>
              <w:t>Околна среда</w:t>
            </w:r>
          </w:p>
          <w:p>
            <w:pPr>
              <w:numPr>
                <w:numId w:val="8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74" w:name="_Toc256000087"/>
      <w:bookmarkStart w:id="175" w:name="_Toc256000350"/>
      <w:r>
        <w:rPr>
          <w:b w:val="0"/>
        </w:rPr>
        <w:t>6В-1 Осигуряване на достъп до фиксирана широколентова мрежа в селските територии без покритие</w:t>
      </w:r>
      <w:bookmarkEnd w:id="175"/>
      <w:bookmarkEnd w:id="1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6"/>
              </w:numPr>
              <w:rPr>
                <w:b w:val="0"/>
              </w:rPr>
            </w:pPr>
            <w:r>
              <w:rPr>
                <w:b w:val="0"/>
              </w:rPr>
              <w:t xml:space="preserve">6Б) Стимулиране на местното развитие в селските райони </w:t>
            </w:r>
          </w:p>
          <w:p>
            <w:pPr>
              <w:numPr>
                <w:numId w:val="86"/>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7"/>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176" w:name="_Toc256000088"/>
      <w:bookmarkStart w:id="177" w:name="_Toc256000351"/>
      <w:r>
        <w:t>Описание на стратегията</w:t>
      </w:r>
      <w:bookmarkEnd w:id="177"/>
      <w:bookmarkEnd w:id="176"/>
    </w:p>
    <w:p>
      <w:pPr>
        <w:pStyle w:val="Heading2"/>
      </w:pPr>
      <w:bookmarkStart w:id="178" w:name="_Toc256000089"/>
      <w:bookmarkStart w:id="179" w:name="_Toc256000352"/>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179"/>
      <w:bookmarkEnd w:id="17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22% от публичните разходи на Програмата, по втората – 48%, а по третата – 28%.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Интервенциите по Приоритет 2 целят </w:t>
            </w:r>
            <w:r>
              <w:rPr>
                <w:rFonts w:ascii="Times New Roman" w:eastAsia="Times New Roman" w:hAnsi="Times New Roman" w:cs="Times New Roman"/>
                <w:i/>
                <w:iCs/>
                <w:szCs w:val="24"/>
              </w:rPr>
              <w:t xml:space="preserve">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xml:space="preserve"> 3500 земеделски стопанства и навлизането в земеделието на 3060 млади стопани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xml:space="preserve"> и </w:t>
            </w:r>
            <w:r>
              <w:rPr>
                <w:rFonts w:ascii="Times New Roman" w:eastAsia="Times New Roman" w:hAnsi="Times New Roman" w:cs="Times New Roman"/>
                <w:i/>
                <w:iCs/>
                <w:szCs w:val="24"/>
              </w:rPr>
              <w:t xml:space="preserve">управлението на риска </w:t>
            </w:r>
            <w:r>
              <w:rPr>
                <w:rFonts w:ascii="Times New Roman" w:eastAsia="Times New Roman" w:hAnsi="Times New Roman" w:cs="Times New Roman"/>
                <w:szCs w:val="24"/>
              </w:rPr>
              <w:t xml:space="preserve">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620 стопанства</w:t>
            </w:r>
            <w:r>
              <w:rPr>
                <w:rFonts w:ascii="Times New Roman" w:eastAsia="Times New Roman" w:hAnsi="Times New Roman" w:cs="Times New Roman"/>
                <w:szCs w:val="24"/>
              </w:rPr>
              <w:t xml:space="preserve">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3Б ще програмата цели подобряване на управлението на риска в земеделието чрез подпомагане на създаването на взаимоспомагателен фонд за неблагоприятни климатични явления, болести по животните и растенията, нашествия на вредители и екологични инциденти, който е програмиран да започне да функционира през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537 хил. ха</w:t>
            </w:r>
            <w:r>
              <w:rPr>
                <w:rFonts w:ascii="Times New Roman" w:eastAsia="Times New Roman" w:hAnsi="Times New Roman" w:cs="Times New Roman"/>
                <w:szCs w:val="24"/>
              </w:rPr>
              <w:t xml:space="preserve"> земеделска земя и </w:t>
            </w:r>
            <w:r>
              <w:rPr>
                <w:rFonts w:ascii="Times New Roman" w:eastAsia="Times New Roman" w:hAnsi="Times New Roman" w:cs="Times New Roman"/>
                <w:b/>
                <w:bCs/>
                <w:szCs w:val="24"/>
              </w:rPr>
              <w:t>101 хил. ха</w:t>
            </w:r>
            <w:r>
              <w:rPr>
                <w:rFonts w:ascii="Times New Roman" w:eastAsia="Times New Roman" w:hAnsi="Times New Roman" w:cs="Times New Roman"/>
                <w:szCs w:val="24"/>
              </w:rPr>
              <w:t xml:space="preserve">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xml:space="preserve">, и подобряване на управлението на водите на </w:t>
            </w:r>
            <w:r>
              <w:rPr>
                <w:rFonts w:ascii="Times New Roman" w:eastAsia="Times New Roman" w:hAnsi="Times New Roman" w:cs="Times New Roman"/>
                <w:b/>
                <w:bCs/>
                <w:szCs w:val="24"/>
              </w:rPr>
              <w:t>113 хил. ха</w:t>
            </w:r>
            <w:r>
              <w:rPr>
                <w:rFonts w:ascii="Times New Roman" w:eastAsia="Times New Roman" w:hAnsi="Times New Roman" w:cs="Times New Roman"/>
                <w:szCs w:val="24"/>
              </w:rPr>
              <w:t>.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217 млн. евро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150 млн. евро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18 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рамките на ПО 6А Програмата цели подпомагането на </w:t>
            </w:r>
            <w:r>
              <w:rPr>
                <w:rFonts w:ascii="Times New Roman" w:eastAsia="Times New Roman" w:hAnsi="Times New Roman" w:cs="Times New Roman"/>
                <w:b/>
                <w:bCs/>
                <w:szCs w:val="24"/>
              </w:rPr>
              <w:t>1600 проекта</w:t>
            </w:r>
            <w:r>
              <w:rPr>
                <w:rFonts w:ascii="Times New Roman" w:eastAsia="Times New Roman" w:hAnsi="Times New Roman" w:cs="Times New Roman"/>
                <w:szCs w:val="24"/>
              </w:rPr>
              <w:t xml:space="preserve">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4 300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xml:space="preserve">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xml:space="preserve">,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xml:space="preserve">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180" w:name="_Toc256000090"/>
      <w:bookmarkStart w:id="181" w:name="_Toc256000353"/>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181"/>
      <w:bookmarkEnd w:id="180"/>
    </w:p>
    <w:p>
      <w:pPr>
        <w:pStyle w:val="Heading3"/>
        <w:jc w:val="left"/>
        <w:rPr>
          <w:b w:val="0"/>
        </w:rPr>
      </w:pPr>
      <w:bookmarkStart w:id="182" w:name="_Toc256000091"/>
      <w:bookmarkStart w:id="183" w:name="_Toc256000354"/>
      <w:r>
        <w:rPr>
          <w:b w:val="0"/>
        </w:rPr>
        <w:t>P1: Стимулиране на трансфера на знания и иновациите в областта на селското и горското стопанство и селските райони</w:t>
      </w:r>
      <w:bookmarkEnd w:id="183"/>
      <w:bookmarkEnd w:id="182"/>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8"/>
              </w:numPr>
              <w:rPr>
                <w:b w:val="0"/>
              </w:rPr>
            </w:pPr>
            <w:r>
              <w:rPr>
                <w:b w:val="0"/>
              </w:rPr>
              <w:t>М01 — Трансфер на знания и действия за осведомяване (член 14)</w:t>
            </w:r>
          </w:p>
          <w:p>
            <w:pPr>
              <w:numPr>
                <w:numId w:val="8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8"/>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89"/>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0"/>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84" w:name="_Toc256000092"/>
      <w:bookmarkStart w:id="185" w:name="_Toc256000355"/>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85"/>
      <w:bookmarkEnd w:id="184"/>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M06 — Развитие на стопанства и предприятия (член 19)</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253 млн. евро публични разходи (9% от общия).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3500 стопанства и на нея е отделен 80%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109,93 млн. евро публични разходи, като по ПО 2А са програмирани 91% от тях. Основната част от средствата на подпрограмата са насочени към М06.3 – 60,9 млн.евро, като се цели подпомагане на около 4000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2"/>
              </w:numPr>
            </w:pPr>
            <w:r>
              <w:t>М01 — Трансфер на знания и действия за осведомяване (член 14)</w:t>
            </w:r>
          </w:p>
          <w:p>
            <w:pPr>
              <w:numPr>
                <w:numId w:val="92"/>
              </w:numPr>
            </w:pPr>
            <w:r>
              <w:t>М02 —  Консултантски услуги, услуги по управление на стопанство и услуги по заместване в стопанство (член 15)</w:t>
            </w:r>
          </w:p>
          <w:p>
            <w:pPr>
              <w:numPr>
                <w:numId w:val="92"/>
              </w:numPr>
            </w:pPr>
            <w:r>
              <w:t>M04 — Инвестиции в материални активи (член 17)</w:t>
            </w:r>
          </w:p>
          <w:p>
            <w:pPr>
              <w:numPr>
                <w:numId w:val="92"/>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124.4 млн. евро публични разходи (4.3% от общия). Основната част от бюджета (76,5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3"/>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18 000 000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86" w:name="_Toc256000093"/>
      <w:bookmarkStart w:id="187" w:name="_Toc256000356"/>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87"/>
      <w:bookmarkEnd w:id="186"/>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4"/>
              </w:numPr>
              <w:rPr>
                <w:b w:val="0"/>
              </w:rPr>
            </w:pPr>
            <w:r>
              <w:rPr>
                <w:b w:val="0"/>
              </w:rPr>
              <w:t>М01 — Трансфер на знания и действия за осведомяване (член 14)</w:t>
            </w:r>
          </w:p>
          <w:p>
            <w:pPr>
              <w:numPr>
                <w:numId w:val="94"/>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4"/>
              </w:numPr>
              <w:rPr>
                <w:b w:val="0"/>
              </w:rPr>
            </w:pPr>
            <w:r>
              <w:rPr>
                <w:b w:val="0"/>
              </w:rPr>
              <w:t>M04 — Инвестиции в материални активи (член 17)</w:t>
            </w:r>
          </w:p>
          <w:p>
            <w:pPr>
              <w:numPr>
                <w:numId w:val="94"/>
              </w:numPr>
              <w:rPr>
                <w:b w:val="0"/>
              </w:rPr>
            </w:pPr>
            <w:r>
              <w:rPr>
                <w:b w:val="0"/>
              </w:rPr>
              <w:t>M06 — Развитие на стопанства и предприятия (член 19)</w:t>
            </w:r>
          </w:p>
          <w:p>
            <w:pPr>
              <w:numPr>
                <w:numId w:val="94"/>
              </w:numPr>
              <w:rPr>
                <w:b w:val="0"/>
              </w:rPr>
            </w:pPr>
            <w:r>
              <w:rPr>
                <w:b w:val="0"/>
              </w:rPr>
              <w:t>M09 — Създаване на групи и организации на производителите (член 27)</w:t>
            </w:r>
          </w:p>
          <w:p>
            <w:pPr>
              <w:numPr>
                <w:numId w:val="94"/>
              </w:numPr>
              <w:rPr>
                <w:b w:val="0"/>
              </w:rPr>
            </w:pPr>
            <w:r>
              <w:rPr>
                <w:b w:val="0"/>
              </w:rPr>
              <w:t>M14 — Хуманно отношение към животните (член 33)</w:t>
            </w:r>
          </w:p>
          <w:p>
            <w:pPr>
              <w:numPr>
                <w:numId w:val="94"/>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316 млн. евро или 11 % от общия.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450 проекта, като тя има бюджет от 235,6 млн. евро публични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57 млн.евро. Целта е да бъдат подпомогнати над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Индикативният бюджет на тази ПО е 37,1 млн. евро публични разходи или 1,4% от общия. Чрез М17 ще се подпомагат се финансовите вноски във взаимоспомагателни фондове за компенсиране на земеделските стопани за икономически загуби, причинени от неблагоприятни климатични явления или от поява на болест по животните или по растенията, или от нашествие на вредители или екологичен инцидент. Мярката ще започне да се прилага след извършване на анализ на ползите и разходите и приложимостта, на основата на който ще се разработи механизмът за прилагане. Индикативният бюджет на мярката е 36,7 млн. евро и е временно прикрепен към бюджета на М 04 по ПО2А.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88" w:name="_Toc256000094"/>
      <w:bookmarkStart w:id="189" w:name="_Toc256000357"/>
      <w:r>
        <w:rPr>
          <w:b w:val="0"/>
        </w:rPr>
        <w:t>P4: Възстановяване, опазване и укрепване на екосистемите, свързани със селското и горското стопанство</w:t>
      </w:r>
      <w:bookmarkEnd w:id="189"/>
      <w:bookmarkEnd w:id="188"/>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6"/>
              </w:numPr>
              <w:rPr>
                <w:b w:val="0"/>
              </w:rPr>
            </w:pPr>
            <w:r>
              <w:rPr>
                <w:b w:val="0"/>
              </w:rPr>
              <w:t>М01 — Трансфер на знания и действия за осведомяване (член 14)</w:t>
            </w:r>
          </w:p>
          <w:p>
            <w:pPr>
              <w:numPr>
                <w:numId w:val="96"/>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6"/>
              </w:numPr>
              <w:rPr>
                <w:b w:val="0"/>
              </w:rPr>
            </w:pPr>
            <w:r>
              <w:rPr>
                <w:b w:val="0"/>
              </w:rPr>
              <w:t>M04 — Инвестиции в материални активи (член 17)</w:t>
            </w:r>
          </w:p>
          <w:p>
            <w:pPr>
              <w:numPr>
                <w:numId w:val="96"/>
              </w:numPr>
              <w:rPr>
                <w:b w:val="0"/>
              </w:rPr>
            </w:pPr>
            <w:r>
              <w:rPr>
                <w:b w:val="0"/>
              </w:rPr>
              <w:t>M10 — Агроекология и климат (член 28)</w:t>
            </w:r>
          </w:p>
          <w:p>
            <w:pPr>
              <w:numPr>
                <w:numId w:val="96"/>
              </w:numPr>
              <w:rPr>
                <w:b w:val="0"/>
              </w:rPr>
            </w:pPr>
            <w:r>
              <w:rPr>
                <w:b w:val="0"/>
              </w:rPr>
              <w:t>М11 — Биологично земеделие (член 29)</w:t>
            </w:r>
          </w:p>
          <w:p>
            <w:pPr>
              <w:numPr>
                <w:numId w:val="96"/>
              </w:numPr>
              <w:rPr>
                <w:b w:val="0"/>
              </w:rPr>
            </w:pPr>
            <w:r>
              <w:rPr>
                <w:b w:val="0"/>
              </w:rPr>
              <w:t>M12 — Плащания по „Натура 2000“ и Рамковата директива за водите (член 30)</w:t>
            </w:r>
          </w:p>
          <w:p>
            <w:pPr>
              <w:numPr>
                <w:numId w:val="96"/>
              </w:numPr>
              <w:rPr>
                <w:b w:val="0"/>
              </w:rPr>
            </w:pPr>
            <w:r>
              <w:rPr>
                <w:b w:val="0"/>
              </w:rPr>
              <w:t>М13 — Плащания за райони, изправени пред природни или други специфични ограничения (член 31)</w:t>
            </w:r>
          </w:p>
          <w:p>
            <w:pPr>
              <w:numPr>
                <w:numId w:val="96"/>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7"/>
              </w:numPr>
              <w:rPr>
                <w:b w:val="0"/>
              </w:rPr>
            </w:pPr>
            <w:r>
              <w:rPr>
                <w:b w:val="0"/>
              </w:rPr>
              <w:t>М08 — Инвестиции в развитие на горските райони и подобряване на жизнеспособността на горите (членове 21 — 26)</w:t>
            </w:r>
          </w:p>
          <w:p>
            <w:pPr>
              <w:numPr>
                <w:numId w:val="97"/>
              </w:numPr>
              <w:rPr>
                <w:b w:val="0"/>
              </w:rPr>
            </w:pPr>
            <w:r>
              <w:rPr>
                <w:b w:val="0"/>
              </w:rPr>
              <w:t>M12 — Плащания по „Натура 2000“ и Рамковата директива за водите (член 30)</w:t>
            </w:r>
          </w:p>
          <w:p>
            <w:pPr>
              <w:numPr>
                <w:numId w:val="97"/>
              </w:numPr>
              <w:rPr>
                <w:b w:val="0"/>
              </w:rPr>
            </w:pPr>
            <w:r>
              <w:rPr>
                <w:b w:val="0"/>
              </w:rP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946 млн. евро публични разходи или 32,5% от общия бюджет на Програмата. В рамките на приоритета са избрани: 1) мерки – М01, М02 и М16, които имат бюджет 16,8 млн. евро; 2)  мерки– М10, М11, М12,М13, с бюджет 771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131.5 млн. евро; 4) мерки за екосистемни услуги в горите, с бюджет 25,81 млн.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10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 и М15).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8"/>
              </w:numPr>
            </w:pPr>
            <w:r>
              <w:t>М01 — Трансфер на знания и действия за осведомяване (член 14)</w:t>
            </w:r>
          </w:p>
          <w:p>
            <w:pPr>
              <w:numPr>
                <w:numId w:val="98"/>
              </w:numPr>
            </w:pPr>
            <w:r>
              <w:t>М02 —  Консултантски услуги, услуги по управление на стопанство и услуги по заместване в стопанство (член 15)</w:t>
            </w:r>
          </w:p>
          <w:p>
            <w:pPr>
              <w:numPr>
                <w:numId w:val="98"/>
              </w:numPr>
            </w:pPr>
            <w:r>
              <w:t>M04 — Инвестиции в материални активи (член 17)</w:t>
            </w:r>
          </w:p>
          <w:p>
            <w:pPr>
              <w:numPr>
                <w:numId w:val="98"/>
              </w:numPr>
            </w:pPr>
            <w:r>
              <w:t>M10 — Агроекология и климат (член 28)</w:t>
            </w:r>
          </w:p>
          <w:p>
            <w:pPr>
              <w:numPr>
                <w:numId w:val="98"/>
              </w:numPr>
            </w:pPr>
            <w:r>
              <w:t>М11 — Биологично земеделие (член 29)</w:t>
            </w:r>
          </w:p>
          <w:p>
            <w:pPr>
              <w:numPr>
                <w:numId w:val="98"/>
              </w:numPr>
            </w:pPr>
            <w:r>
              <w:t>M12 — Плащания по „Натура 2000“ и Рамковата директива за водите (член 30)</w:t>
            </w:r>
          </w:p>
          <w:p>
            <w:pPr>
              <w:numPr>
                <w:numId w:val="98"/>
              </w:numPr>
            </w:pPr>
            <w:r>
              <w:t>М13 — Плащания за райони, изправени пред природни или други специфични ограничения (член 31)</w:t>
            </w:r>
          </w:p>
          <w:p>
            <w:pPr>
              <w:numPr>
                <w:numId w:val="98"/>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99"/>
              </w:numPr>
            </w:pPr>
            <w:r>
              <w:t>М08 — Инвестиции в развитие на горските райони и подобряване на жизнеспособността на горите (членове 21 — 26)</w:t>
            </w:r>
          </w:p>
          <w:p>
            <w:pPr>
              <w:numPr>
                <w:numId w:val="99"/>
              </w:numPr>
            </w:pPr>
            <w:r>
              <w:t>M12 — Плащания по „Натура 2000“ и Рамковата директива за водите (член 30)</w:t>
            </w:r>
          </w:p>
          <w:p>
            <w:pPr>
              <w:numPr>
                <w:numId w:val="99"/>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M10 — Агроекология и климат (член 28)</w:t>
            </w:r>
          </w:p>
          <w:p>
            <w:pPr>
              <w:numPr>
                <w:numId w:val="100"/>
              </w:numPr>
            </w:pPr>
            <w:r>
              <w:t>М11 — Биологично земеделие (член 29)</w:t>
            </w:r>
          </w:p>
          <w:p>
            <w:pPr>
              <w:numPr>
                <w:numId w:val="100"/>
              </w:numPr>
            </w:pPr>
            <w:r>
              <w:t>M12 — Плащания по „Натура 2000“ и Рамковата директива за водите (член 30)</w:t>
            </w:r>
          </w:p>
          <w:p>
            <w:pPr>
              <w:numPr>
                <w:numId w:val="100"/>
              </w:numPr>
            </w:pPr>
            <w:r>
              <w:t>М13 — Плащания за райони, изправени пред природни или други специфични ограничения (член 31)</w:t>
            </w:r>
          </w:p>
          <w:p>
            <w:pPr>
              <w:numPr>
                <w:numId w:val="100"/>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1"/>
              </w:numPr>
            </w:pPr>
            <w:r>
              <w:t>М08 — Инвестиции в развитие на горските райони и подобряване на жизнеспособността на горите (членове 21 — 26)</w:t>
            </w:r>
          </w:p>
          <w:p>
            <w:pPr>
              <w:numPr>
                <w:numId w:val="101"/>
              </w:numPr>
            </w:pPr>
            <w:r>
              <w:t>M12 — Плащания по „Натура 2000“ и Рамковата директива за водите (член 30)</w:t>
            </w:r>
          </w:p>
          <w:p>
            <w:pPr>
              <w:numPr>
                <w:numId w:val="101"/>
              </w:numPr>
            </w:pPr>
            <w:r>
              <w:t>М15 — Екологични услуги и услуги във връзка с климата в горското стопанство и опазване на горите (член 34)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90" w:name="_Toc256000095"/>
      <w:bookmarkStart w:id="191" w:name="_Toc256000358"/>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91"/>
      <w:bookmarkEnd w:id="190"/>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2"/>
              </w:numPr>
              <w:rPr>
                <w:b w:val="0"/>
              </w:rPr>
            </w:pPr>
            <w:r>
              <w:rPr>
                <w:b w:val="0"/>
              </w:rPr>
              <w:t>М01 — Трансфер на знания и действия за осведомяване (член 14)</w:t>
            </w:r>
          </w:p>
          <w:p>
            <w:pPr>
              <w:numPr>
                <w:numId w:val="102"/>
              </w:numPr>
              <w:rPr>
                <w:b w:val="0"/>
              </w:rPr>
            </w:pPr>
            <w:r>
              <w:rPr>
                <w:b w:val="0"/>
              </w:rPr>
              <w:t>М02 —  Консултантски услуги, услуги по управление на стопанство и услуги по заместване в стопанство (член 15)</w:t>
            </w:r>
          </w:p>
          <w:p>
            <w:pPr>
              <w:numPr>
                <w:numId w:val="102"/>
              </w:numPr>
              <w:rPr>
                <w:b w:val="0"/>
              </w:rPr>
            </w:pPr>
            <w:r>
              <w:rPr>
                <w:b w:val="0"/>
              </w:rPr>
              <w:t>M04 — Инвестиции в материални активи (член 17)</w:t>
            </w:r>
          </w:p>
          <w:p>
            <w:pPr>
              <w:numPr>
                <w:numId w:val="102"/>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55,8 млн. евро публични разходи или 1.9 % от общия.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M04 — Инвестиции в материални активи (член 17)</w:t>
            </w:r>
          </w:p>
          <w:p>
            <w:pPr>
              <w:numPr>
                <w:numId w:val="10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123 млн.евро, или 4,2%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4"/>
              </w:numPr>
            </w:pPr>
            <w:r>
              <w:t>М01 — Трансфер на знания и действия за осведомяване (член 14)</w:t>
            </w:r>
          </w:p>
          <w:p>
            <w:pPr>
              <w:numPr>
                <w:numId w:val="104"/>
              </w:numPr>
            </w:pPr>
            <w:r>
              <w:t>М02 —  Консултантски услуги, услуги по управление на стопанство и услуги по заместване в стопанство (член 15)</w:t>
            </w:r>
          </w:p>
          <w:p>
            <w:pPr>
              <w:numPr>
                <w:numId w:val="104"/>
              </w:numPr>
            </w:pPr>
            <w:r>
              <w:t>M04 — Инвестиции в материални активи (член 17)</w:t>
            </w:r>
          </w:p>
          <w:p>
            <w:pPr>
              <w:numPr>
                <w:numId w:val="104"/>
              </w:numPr>
            </w:pPr>
            <w:r>
              <w:t>М07 — Основни услуги и обновяване на селата в селските райони (член 20)</w:t>
            </w:r>
          </w:p>
          <w:p>
            <w:pPr>
              <w:numPr>
                <w:numId w:val="104"/>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115,4 млн.евро или 4% от общия.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43,3 млн. евро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5"/>
              </w:numPr>
            </w:pPr>
            <w:r>
              <w:t>М01 — Трансфер на знания и действия за осведомяване (член 14)</w:t>
            </w:r>
          </w:p>
          <w:p>
            <w:pPr>
              <w:numPr>
                <w:numId w:val="105"/>
              </w:numPr>
            </w:pPr>
            <w:r>
              <w:t>М02 —  Консултантски услуги, услуги по управление на стопанство и услуги по заместване в стопанство (член 15)</w:t>
            </w:r>
          </w:p>
          <w:p>
            <w:pPr>
              <w:numPr>
                <w:numId w:val="105"/>
              </w:numPr>
            </w:pPr>
            <w:r>
              <w:t>M04 — Инвестиции в материални активи (член 17)</w:t>
            </w:r>
          </w:p>
          <w:p>
            <w:pPr>
              <w:numPr>
                <w:numId w:val="105"/>
              </w:numPr>
            </w:pPr>
            <w:r>
              <w:t>M10 — Агроекология и климат (член 28)</w:t>
            </w:r>
          </w:p>
          <w:p>
            <w:pPr>
              <w:numPr>
                <w:numId w:val="105"/>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66 млн.евро или 2%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Програмираният бюджет е 42,7 млн. евро или 77% от общия за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27% от бюджета на ПО 5Г (18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6"/>
              </w:numPr>
            </w:pPr>
            <w:r>
              <w:t>М01 — Трансфер на знания и действия за осведомяване (член 14)</w:t>
            </w:r>
          </w:p>
          <w:p>
            <w:pPr>
              <w:numPr>
                <w:numId w:val="106"/>
              </w:numPr>
            </w:pPr>
            <w:r>
              <w:t>М02 —  Консултантски услуги, услуги по управление на стопанство и услуги по заместване в стопанство (член 15)</w:t>
            </w:r>
          </w:p>
          <w:p>
            <w:pPr>
              <w:numPr>
                <w:numId w:val="106"/>
              </w:numPr>
            </w:pPr>
            <w:r>
              <w:t>М08 — Инвестиции в развитие на горските райони и подобряване на жизнеспособността на горите (членове 21 — 26)</w:t>
            </w:r>
          </w:p>
          <w:p>
            <w:pPr>
              <w:numPr>
                <w:numId w:val="10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31,3 млн. евро публични разходи, или 1,1%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192" w:name="_Toc256000096"/>
      <w:bookmarkStart w:id="193" w:name="_Toc256000359"/>
      <w:r>
        <w:rPr>
          <w:b w:val="0"/>
        </w:rPr>
        <w:t>P6: Насърчаване на социалното приобщаване, намаляването на бедността и икономическото развитие в селските райони</w:t>
      </w:r>
      <w:bookmarkEnd w:id="193"/>
      <w:bookmarkEnd w:id="192"/>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7"/>
              </w:numPr>
              <w:rPr>
                <w:b w:val="0"/>
              </w:rPr>
            </w:pPr>
            <w:r>
              <w:rPr>
                <w:b w:val="0"/>
              </w:rP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127,9 млн.евро публични разходи или 4,4% от общите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М06.2 и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1600 проекта, водещи до създаване на 4300 работни места.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8"/>
              </w:numPr>
            </w:pPr>
            <w:r>
              <w:t>М07 — Основни услуги и обновяване на селата в селските райони (член 20)</w:t>
            </w:r>
          </w:p>
          <w:p>
            <w:pPr>
              <w:numPr>
                <w:numId w:val="108"/>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657,2 млн. евро или 22,5% от общите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131,5 млн.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shd w:val="clear" w:color="auto" w:fill="auto"/>
            <w:noWrap w:val="0"/>
            <w:tcMar>
              <w:top w:w="20" w:type="dxa"/>
              <w:bottom w:w="20" w:type="dxa"/>
            </w:tcMar>
            <w:vAlign w:val="bottom"/>
          </w:tcPr>
          <w:p>
            <w:pPr>
              <w:numPr>
                <w:numId w:val="109"/>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30 млн. евро или 1%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194" w:name="_Toc256000097"/>
      <w:bookmarkStart w:id="195" w:name="_Toc256000360"/>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195"/>
      <w:bookmarkEnd w:id="19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34%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196" w:name="_Toc256000098"/>
      <w:bookmarkStart w:id="197" w:name="_Toc256000361"/>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197"/>
      <w:bookmarkEnd w:id="1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1"/>
        <w:gridCol w:w="6536"/>
        <w:gridCol w:w="849"/>
        <w:gridCol w:w="996"/>
        <w:gridCol w:w="114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bottom"/>
          </w:tcPr>
          <w:p>
            <w:pPr>
              <w:jc w:val="center"/>
              <w:rPr>
                <w:b w:val="0"/>
                <w:sz w:val="16"/>
              </w:rPr>
            </w:pPr>
            <w:r>
              <w:rPr>
                <w:b w:val="0"/>
                <w:sz w:val="16"/>
              </w:rPr>
              <w:t>Целева стойност 2023 г.</w:t>
            </w:r>
          </w:p>
        </w:tc>
        <w:tc>
          <w:tcPr>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shd w:val="clear" w:color="auto" w:fill="FFFFFF"/>
            <w:noWrap w:val="0"/>
            <w:tcMar>
              <w:top w:w="20" w:type="dxa"/>
              <w:bottom w:w="20" w:type="dxa"/>
            </w:tcMar>
            <w:vAlign w:val="center"/>
          </w:tcPr>
          <w:p>
            <w:pPr>
              <w:spacing w:before="20" w:after="20"/>
              <w:jc w:val="right"/>
              <w:rPr>
                <w:b w:val="0"/>
                <w:sz w:val="16"/>
              </w:rPr>
            </w:pPr>
            <w:r>
              <w:rPr>
                <w:b w:val="0"/>
                <w:sz w:val="16"/>
              </w:rPr>
              <w:t>2,67</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shd w:val="clear" w:color="auto" w:fill="FFFFFF"/>
            <w:noWrap w:val="0"/>
            <w:tcMar>
              <w:top w:w="20" w:type="dxa"/>
              <w:bottom w:w="20" w:type="dxa"/>
            </w:tcMar>
            <w:vAlign w:val="center"/>
          </w:tcPr>
          <w:p>
            <w:pPr>
              <w:spacing w:before="20" w:after="20"/>
              <w:jc w:val="right"/>
              <w:rPr>
                <w:b w:val="0"/>
                <w:sz w:val="16"/>
              </w:rPr>
            </w:pPr>
          </w:p>
        </w:tc>
        <w:tc>
          <w:tcPr>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shd w:val="clear" w:color="auto" w:fill="FFFFFF"/>
            <w:noWrap w:val="0"/>
            <w:tcMar>
              <w:top w:w="20" w:type="dxa"/>
              <w:bottom w:w="20" w:type="dxa"/>
            </w:tcMar>
            <w:vAlign w:val="center"/>
          </w:tcPr>
          <w:p>
            <w:pPr>
              <w:spacing w:before="20" w:after="20"/>
              <w:jc w:val="right"/>
              <w:rPr>
                <w:b w:val="0"/>
                <w:sz w:val="16"/>
              </w:rPr>
            </w:pPr>
            <w:r>
              <w:rPr>
                <w:b w:val="0"/>
                <w:sz w:val="16"/>
              </w:rPr>
              <w:t>0,94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252 290 997,00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shd w:val="clear" w:color="auto" w:fill="FFFFFF"/>
            <w:noWrap w:val="0"/>
            <w:tcMar>
              <w:top w:w="20" w:type="dxa"/>
              <w:bottom w:w="20" w:type="dxa"/>
            </w:tcMar>
            <w:vAlign w:val="center"/>
          </w:tcPr>
          <w:p>
            <w:pPr>
              <w:spacing w:before="20" w:after="20"/>
              <w:jc w:val="right"/>
              <w:rPr>
                <w:b w:val="0"/>
                <w:sz w:val="16"/>
              </w:rPr>
            </w:pPr>
            <w:r>
              <w:rPr>
                <w:b w:val="0"/>
                <w:sz w:val="16"/>
              </w:rPr>
              <w:t>0,83</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124 394 146,90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shd w:val="clear" w:color="auto" w:fill="FFFFFF"/>
            <w:noWrap w:val="0"/>
            <w:tcMar>
              <w:top w:w="20" w:type="dxa"/>
              <w:bottom w:w="20" w:type="dxa"/>
            </w:tcMar>
            <w:vAlign w:val="center"/>
          </w:tcPr>
          <w:p>
            <w:pPr>
              <w:spacing w:before="20" w:after="20"/>
              <w:jc w:val="right"/>
              <w:rPr>
                <w:b w:val="0"/>
                <w:sz w:val="16"/>
              </w:rPr>
            </w:pPr>
            <w:r>
              <w:rPr>
                <w:b w:val="0"/>
                <w:sz w:val="16"/>
              </w:rPr>
              <w:t>18 000 000,00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shd w:val="clear" w:color="auto" w:fill="FFFFFF"/>
            <w:noWrap w:val="0"/>
            <w:tcMar>
              <w:top w:w="20" w:type="dxa"/>
              <w:bottom w:w="20" w:type="dxa"/>
            </w:tcMar>
            <w:vAlign w:val="center"/>
          </w:tcPr>
          <w:p>
            <w:pPr>
              <w:spacing w:before="20" w:after="20"/>
              <w:jc w:val="right"/>
              <w:rPr>
                <w:b w:val="0"/>
                <w:sz w:val="16"/>
              </w:rPr>
            </w:pPr>
            <w:r>
              <w:rPr>
                <w:b w:val="0"/>
                <w:sz w:val="16"/>
              </w:rPr>
              <w:t>0,12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316 230 507,80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shd w:val="clear" w:color="auto" w:fill="FFFFFF"/>
            <w:noWrap w:val="0"/>
            <w:tcMar>
              <w:top w:w="20" w:type="dxa"/>
              <w:bottom w:w="20" w:type="dxa"/>
            </w:tcMar>
            <w:vAlign w:val="center"/>
          </w:tcPr>
          <w:p>
            <w:pPr>
              <w:spacing w:before="20" w:after="20"/>
              <w:jc w:val="right"/>
              <w:rPr>
                <w:b w:val="0"/>
                <w:sz w:val="16"/>
              </w:rPr>
            </w:pPr>
            <w:r>
              <w:rPr>
                <w:b w:val="0"/>
                <w:sz w:val="16"/>
              </w:rPr>
              <w:t>350 000,00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12,00</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918 680 732,60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2,52</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1,18</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shd w:val="clear" w:color="auto" w:fill="FFFFFF"/>
            <w:noWrap w:val="0"/>
            <w:tcMar>
              <w:top w:w="20" w:type="dxa"/>
              <w:bottom w:w="20" w:type="dxa"/>
            </w:tcMar>
            <w:vAlign w:val="center"/>
          </w:tcPr>
          <w:p>
            <w:pPr>
              <w:spacing w:before="20" w:after="20"/>
              <w:jc w:val="right"/>
              <w:rPr>
                <w:b w:val="0"/>
                <w:sz w:val="16"/>
              </w:rPr>
            </w:pPr>
            <w:r>
              <w:rPr>
                <w:b w:val="0"/>
                <w:sz w:val="16"/>
              </w:rPr>
              <w:t>2,56</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27 680 623,20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 M15</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shd w:val="clear" w:color="auto" w:fill="FFFFFF"/>
            <w:noWrap w:val="0"/>
            <w:tcMar>
              <w:top w:w="20" w:type="dxa"/>
              <w:bottom w:w="20" w:type="dxa"/>
            </w:tcMar>
            <w:vAlign w:val="center"/>
          </w:tcPr>
          <w:p>
            <w:pPr>
              <w:spacing w:before="20" w:after="20"/>
              <w:jc w:val="left"/>
              <w:rPr>
                <w:b w:val="0"/>
                <w:sz w:val="16"/>
              </w:rPr>
            </w:pPr>
          </w:p>
        </w:tc>
        <w:tc>
          <w:tcPr>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shd w:val="clear" w:color="auto" w:fill="FFFFFF"/>
            <w:noWrap w:val="0"/>
            <w:tcMar>
              <w:top w:w="20" w:type="dxa"/>
              <w:bottom w:w="20" w:type="dxa"/>
            </w:tcMar>
            <w:vAlign w:val="center"/>
          </w:tcPr>
          <w:p>
            <w:pPr>
              <w:spacing w:before="20" w:after="20"/>
              <w:jc w:val="right"/>
              <w:rPr>
                <w:b w:val="0"/>
                <w:sz w:val="16"/>
              </w:rPr>
            </w:pPr>
            <w:r>
              <w:rPr>
                <w:b w:val="0"/>
                <w:sz w:val="16"/>
              </w:rPr>
              <w:t>2,31</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55 786 971,10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216 674 111,30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123 152 677,90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shd w:val="clear" w:color="auto" w:fill="FFFFFF"/>
            <w:noWrap w:val="0"/>
            <w:tcMar>
              <w:top w:w="20" w:type="dxa"/>
              <w:bottom w:w="20" w:type="dxa"/>
            </w:tcMar>
            <w:vAlign w:val="center"/>
          </w:tcPr>
          <w:p>
            <w:pPr>
              <w:spacing w:before="20" w:after="20"/>
              <w:jc w:val="right"/>
              <w:rPr>
                <w:b w:val="0"/>
                <w:sz w:val="16"/>
              </w:rPr>
            </w:pPr>
            <w:r>
              <w:rPr>
                <w:b w:val="0"/>
                <w:sz w:val="16"/>
              </w:rPr>
              <w:t>149 544 703,80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115 540 312,20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1,58</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66 100 074,10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31 415 213,20</w:t>
            </w:r>
          </w:p>
        </w:tc>
        <w:tc>
          <w:tcPr>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2023 г.</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4 270,00</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127 945 241,00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M06</w:t>
            </w:r>
          </w:p>
        </w:tc>
      </w:tr>
      <w:tr>
        <w:tblPrEx>
          <w:tblW w:w="5000" w:type="pct"/>
          <w:tblCellMar>
            <w:left w:w="108" w:type="dxa"/>
            <w:right w:w="108" w:type="dxa"/>
          </w:tblCellMar>
        </w:tblPrEx>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vMerge w:val="restart"/>
            <w:shd w:val="clear" w:color="auto" w:fill="FFFFFF"/>
            <w:noWrap w:val="0"/>
            <w:tcMar>
              <w:top w:w="20" w:type="dxa"/>
              <w:bottom w:w="20" w:type="dxa"/>
            </w:tcMar>
            <w:vAlign w:val="center"/>
          </w:tcPr>
          <w:p>
            <w:pPr>
              <w:spacing w:before="20" w:after="20"/>
              <w:jc w:val="right"/>
              <w:rPr>
                <w:b w:val="0"/>
                <w:sz w:val="16"/>
              </w:rPr>
            </w:pPr>
            <w:r>
              <w:rPr>
                <w:b w:val="0"/>
                <w:sz w:val="16"/>
              </w:rPr>
              <w:t>657 210 186,60</w:t>
            </w:r>
          </w:p>
        </w:tc>
        <w:tc>
          <w:tcPr>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vMerge/>
            <w:shd w:val="clear" w:color="auto" w:fill="FFFFFF"/>
            <w:noWrap w:val="0"/>
            <w:tcMar>
              <w:top w:w="20" w:type="dxa"/>
              <w:bottom w:w="20" w:type="dxa"/>
            </w:tcMar>
            <w:vAlign w:val="center"/>
          </w:tcPr>
          <w:p>
            <w:pPr>
              <w:spacing w:before="20" w:after="20"/>
              <w:jc w:val="center"/>
              <w:rPr>
                <w:b w:val="0"/>
                <w:sz w:val="16"/>
              </w:rPr>
            </w:pPr>
          </w:p>
        </w:tc>
        <w:tc>
          <w:tcPr>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vMerge/>
            <w:shd w:val="clear" w:color="auto" w:fill="FFFFFF"/>
            <w:noWrap w:val="0"/>
            <w:tcMar>
              <w:top w:w="20" w:type="dxa"/>
              <w:bottom w:w="20" w:type="dxa"/>
            </w:tcMar>
            <w:vAlign w:val="center"/>
          </w:tcPr>
          <w:p>
            <w:pPr>
              <w:spacing w:before="20" w:after="20"/>
              <w:jc w:val="right"/>
              <w:rPr>
                <w:b w:val="0"/>
                <w:sz w:val="16"/>
              </w:rPr>
            </w:pPr>
          </w:p>
        </w:tc>
        <w:tc>
          <w:tcPr>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shd w:val="clear" w:color="auto" w:fill="FFFFFF"/>
            <w:noWrap w:val="0"/>
            <w:tcMar>
              <w:top w:w="20" w:type="dxa"/>
              <w:bottom w:w="20" w:type="dxa"/>
            </w:tcMar>
            <w:vAlign w:val="center"/>
          </w:tcPr>
          <w:p>
            <w:pPr>
              <w:spacing w:before="20" w:after="20"/>
              <w:jc w:val="right"/>
              <w:rPr>
                <w:b w:val="0"/>
                <w:sz w:val="16"/>
              </w:rPr>
            </w:pPr>
            <w:r>
              <w:rPr>
                <w:b w:val="0"/>
                <w:sz w:val="16"/>
              </w:rPr>
              <w:t>30 000 000,00</w:t>
            </w:r>
          </w:p>
        </w:tc>
        <w:tc>
          <w:tcPr>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198" w:name="_Toc256000099"/>
      <w:bookmarkStart w:id="199" w:name="_Toc256000362"/>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199"/>
      <w:bookmarkEnd w:id="1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200" w:name="_Toc256000100"/>
      <w:bookmarkStart w:id="201" w:name="_Toc256000363"/>
      <w:r>
        <w:t>Оценка на предварителните условия</w:t>
      </w:r>
      <w:bookmarkEnd w:id="201"/>
      <w:bookmarkEnd w:id="200"/>
    </w:p>
    <w:p>
      <w:pPr>
        <w:pStyle w:val="Heading2"/>
      </w:pPr>
      <w:bookmarkStart w:id="202" w:name="_Toc256000101"/>
      <w:bookmarkStart w:id="203" w:name="_Toc256000364"/>
      <w:r>
        <w:t>Допълнителна информация</w:t>
      </w:r>
      <w:bookmarkEnd w:id="203"/>
      <w:bookmarkEnd w:id="20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204" w:name="_Toc256000102"/>
      <w:bookmarkStart w:id="205" w:name="_Toc256000365"/>
      <w:r>
        <w:t>Предварителни условия</w:t>
      </w:r>
      <w:bookmarkEnd w:id="205"/>
      <w:bookmarkEnd w:id="2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05"/>
        <w:gridCol w:w="2804"/>
        <w:gridCol w:w="3505"/>
        <w:gridCol w:w="2804"/>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 M12</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M06</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3A, 6B, 6A, 1A, 5A, 5D, 6C, 1B, 2A, 5C, 1C, 2B, 3B, 5B,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M01, M10, M04, M08, M19, M13, M06, M09, M16, M07, M02, M15, M14, M12, M11</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6A, 5A, 5C, 2A, 1A, 1B, 6B, 2B, 5B, 6C, 1C, 3B, 5E, 3A,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M04, M15, M08, M06, M10, M07, M12, M01, M16, M09, M14, M13, M02,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6C, 5A, 1C, 5C, 2A, 1B, 2B, 5B, 1A, 5E, 3B, 5D, 3A, 6B, 6A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M07, M06, M08, M04, M01, M15, M16, M02, M12, M14, M19, M11, M09, M13</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 2A, 5B, 5C,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M19, M07, M08,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2A, 6A, 6C, 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M16, M19, M02, M06, M01, M08, M07, M15,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2A, 5B, 5C,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M16, M02, M04, M07,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3A, 3B, 5E, 1A, 5C, 2B, 6B, 5A, 2A, 6C, 5D, 1B, 6A, 5B, 1C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M19, M12, M09, M06, M02, M15, M08, M16, M10, M01, M11, M07, M14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93"/>
        <w:gridCol w:w="912"/>
        <w:gridCol w:w="312"/>
        <w:gridCol w:w="8893"/>
        <w:gridCol w:w="324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10"/>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1"/>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2"/>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3"/>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3"/>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3"/>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4"/>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5"/>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5"/>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5"/>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5"/>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5"/>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6"/>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7"/>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8"/>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9"/>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9"/>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9"/>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20"/>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20"/>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206" w:name="_Toc256000103"/>
      <w:bookmarkStart w:id="207" w:name="_Toc256000366"/>
      <w:r>
        <w:rPr>
          <w:b w:val="0"/>
        </w:rPr>
        <w:t>Списък на действията, които да бъдат предприети за общите предварителни условия</w:t>
      </w:r>
      <w:bookmarkEnd w:id="207"/>
      <w:bookmarkEnd w:id="2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04"/>
        <w:gridCol w:w="2804"/>
        <w:gridCol w:w="2804"/>
        <w:gridCol w:w="2804"/>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208" w:name="_Toc256000104"/>
      <w:bookmarkStart w:id="209" w:name="_Toc256000367"/>
      <w:r>
        <w:rPr>
          <w:b w:val="0"/>
        </w:rPr>
        <w:t>Списък на действията, които да бъдат предприети  предварителните условия, свързани с приоритети</w:t>
      </w:r>
      <w:bookmarkEnd w:id="209"/>
      <w:bookmarkEnd w:id="2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68"/>
        <w:gridCol w:w="2439"/>
        <w:gridCol w:w="4363"/>
        <w:gridCol w:w="2356"/>
        <w:gridCol w:w="239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210" w:name="_Toc256000105"/>
      <w:bookmarkStart w:id="211" w:name="_Toc256000368"/>
      <w:r>
        <w:t>Описание на рамката на изпълнението</w:t>
      </w:r>
      <w:bookmarkEnd w:id="211"/>
      <w:bookmarkEnd w:id="210"/>
    </w:p>
    <w:p>
      <w:pPr>
        <w:pStyle w:val="Heading2"/>
      </w:pPr>
      <w:bookmarkStart w:id="212" w:name="_Toc256000106"/>
      <w:bookmarkStart w:id="213" w:name="_Toc256000369"/>
      <w:r>
        <w:t>Показатели</w:t>
      </w:r>
      <w:bookmarkEnd w:id="213"/>
      <w:bookmarkEnd w:id="2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795"/>
        <w:gridCol w:w="1647"/>
        <w:gridCol w:w="3140"/>
        <w:gridCol w:w="1294"/>
        <w:gridCol w:w="2011"/>
        <w:gridCol w:w="1400"/>
        <w:gridCol w:w="17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2023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Етапна цел 2018 г. % (в)</w:t>
            </w:r>
          </w:p>
        </w:tc>
        <w:tc>
          <w:tcPr>
            <w:tcW w:w="10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6 560,00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1 640,00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394 685 143,90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23.56%</w:t>
            </w:r>
          </w:p>
        </w:tc>
        <w:tc>
          <w:tcPr>
            <w:tcW w:w="800" w:type="pct"/>
            <w:shd w:val="clear" w:color="auto" w:fill="FFFFFF"/>
            <w:noWrap w:val="0"/>
            <w:tcMar>
              <w:top w:w="20" w:type="dxa"/>
              <w:bottom w:w="20" w:type="dxa"/>
            </w:tcMar>
            <w:vAlign w:val="center"/>
          </w:tcPr>
          <w:p>
            <w:pPr>
              <w:jc w:val="right"/>
            </w:pPr>
            <w:r>
              <w:t>92 987 819,90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316 580 507,80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63 316 101,56</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450,00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90,00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left"/>
            </w:pPr>
          </w:p>
        </w:tc>
        <w:tc>
          <w:tcPr>
            <w:tcW w:w="800" w:type="pct"/>
            <w:shd w:val="clear" w:color="auto" w:fill="FFFFFF"/>
            <w:noWrap w:val="0"/>
            <w:tcMar>
              <w:top w:w="20" w:type="dxa"/>
              <w:bottom w:w="20" w:type="dxa"/>
            </w:tcMar>
            <w:vAlign w:val="center"/>
          </w:tcPr>
          <w:p>
            <w:pPr>
              <w:jc w:val="left"/>
            </w:pPr>
          </w:p>
        </w:tc>
        <w:tc>
          <w:tcPr>
            <w:tcW w:w="400" w:type="pct"/>
            <w:shd w:val="clear" w:color="auto" w:fill="FFFFFF"/>
            <w:noWrap w:val="0"/>
            <w:tcMar>
              <w:top w:w="20" w:type="dxa"/>
              <w:bottom w:w="20" w:type="dxa"/>
            </w:tcMar>
            <w:vAlign w:val="center"/>
          </w:tcPr>
          <w:p>
            <w:pPr>
              <w:jc w:val="left"/>
            </w:pPr>
            <w:r>
              <w:t>30%</w:t>
            </w:r>
          </w:p>
        </w:tc>
        <w:tc>
          <w:tcPr>
            <w:tcW w:w="800" w:type="pct"/>
            <w:shd w:val="clear" w:color="auto" w:fill="FFFFFF"/>
            <w:noWrap w:val="0"/>
            <w:tcMar>
              <w:top w:w="20" w:type="dxa"/>
              <w:bottom w:w="20" w:type="dxa"/>
            </w:tcMar>
            <w:vAlign w:val="center"/>
          </w:tcPr>
          <w:p>
            <w:pPr>
              <w:jc w:val="left"/>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946 361 355,80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20.69%</w:t>
            </w:r>
          </w:p>
        </w:tc>
        <w:tc>
          <w:tcPr>
            <w:tcW w:w="800" w:type="pct"/>
            <w:shd w:val="clear" w:color="auto" w:fill="FFFFFF"/>
            <w:noWrap w:val="0"/>
            <w:tcMar>
              <w:top w:w="20" w:type="dxa"/>
              <w:bottom w:w="20" w:type="dxa"/>
            </w:tcMar>
            <w:vAlign w:val="center"/>
          </w:tcPr>
          <w:p>
            <w:pPr>
              <w:jc w:val="right"/>
            </w:pPr>
            <w:r>
              <w:t>195 802 164,52</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604 000,00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60%</w:t>
            </w:r>
          </w:p>
        </w:tc>
        <w:tc>
          <w:tcPr>
            <w:tcW w:w="800" w:type="pct"/>
            <w:shd w:val="clear" w:color="auto" w:fill="FFFFFF"/>
            <w:noWrap w:val="0"/>
            <w:tcMar>
              <w:top w:w="20" w:type="dxa"/>
              <w:bottom w:w="20" w:type="dxa"/>
            </w:tcMar>
            <w:vAlign w:val="center"/>
          </w:tcPr>
          <w:p>
            <w:pPr>
              <w:jc w:val="right"/>
            </w:pPr>
            <w:r>
              <w:t>362 400,00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391 995 248,50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34.39%</w:t>
            </w:r>
          </w:p>
        </w:tc>
        <w:tc>
          <w:tcPr>
            <w:tcW w:w="800" w:type="pct"/>
            <w:shd w:val="clear" w:color="auto" w:fill="FFFFFF"/>
            <w:noWrap w:val="0"/>
            <w:tcMar>
              <w:top w:w="20" w:type="dxa"/>
              <w:bottom w:w="20" w:type="dxa"/>
            </w:tcMar>
            <w:vAlign w:val="center"/>
          </w:tcPr>
          <w:p>
            <w:pPr>
              <w:jc w:val="right"/>
            </w:pPr>
            <w:r>
              <w:t>134 807 165,96</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44 050,00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11 012,50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740,00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148,00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815 155 427,60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203 788 856,90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939,00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25%</w:t>
            </w:r>
          </w:p>
        </w:tc>
        <w:tc>
          <w:tcPr>
            <w:tcW w:w="800" w:type="pct"/>
            <w:shd w:val="clear" w:color="auto" w:fill="FFFFFF"/>
            <w:noWrap w:val="0"/>
            <w:tcMar>
              <w:top w:w="20" w:type="dxa"/>
              <w:bottom w:w="20" w:type="dxa"/>
            </w:tcMar>
            <w:vAlign w:val="center"/>
          </w:tcPr>
          <w:p>
            <w:pPr>
              <w:jc w:val="right"/>
            </w:pPr>
            <w:r>
              <w:t>234,75</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100%</w:t>
            </w: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214" w:name="_Toc256000107"/>
      <w:bookmarkStart w:id="215" w:name="_Toc256000370"/>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215"/>
      <w:bookmarkEnd w:id="214"/>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2023 г. (а): </w:t>
      </w:r>
      <w:r>
        <w:t>6 560,00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1 640,00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Общо публични разходи П2 (в евро)</w:t>
      </w:r>
    </w:p>
    <w:p>
      <w:r>
        <w:t xml:space="preserve">Applicable: </w:t>
      </w:r>
      <w:r>
        <w:t>Да</w:t>
      </w:r>
    </w:p>
    <w:p>
      <w:r>
        <w:t xml:space="preserve">Цел за 2023 г. (а): </w:t>
      </w:r>
      <w:r>
        <w:t>394 685 143,90</w:t>
      </w:r>
    </w:p>
    <w:p>
      <w:r>
        <w:t xml:space="preserve">Корекции за допълнителни плащания (б): </w:t>
      </w:r>
    </w:p>
    <w:p>
      <w:r>
        <w:t xml:space="preserve">Етапна цел 2018 г. % (в): </w:t>
      </w:r>
      <w:r>
        <w:t>23.56%</w:t>
      </w:r>
    </w:p>
    <w:p>
      <w:r>
        <w:t xml:space="preserve">Абсолютна стойност на етапната цел (а-б) * в: </w:t>
      </w:r>
      <w:r>
        <w:t>92 987 819,90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216" w:name="_Toc256000108"/>
      <w:bookmarkStart w:id="217" w:name="_Toc256000371"/>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217"/>
      <w:bookmarkEnd w:id="216"/>
    </w:p>
    <w:p>
      <w:pPr>
        <w:pStyle w:val="Heading4"/>
        <w:jc w:val="left"/>
        <w:rPr>
          <w:b w:val="0"/>
        </w:rPr>
      </w:pPr>
      <w:r>
        <w:rPr>
          <w:b w:val="0"/>
        </w:rPr>
        <w:t>Общо публични разходи П3 (в евро)</w:t>
      </w:r>
    </w:p>
    <w:p>
      <w:r>
        <w:rPr>
          <w:b w:val="0"/>
        </w:rPr>
        <w:t xml:space="preserve">Applicable: </w:t>
      </w:r>
      <w:r>
        <w:t>Да</w:t>
      </w:r>
    </w:p>
    <w:p>
      <w:r>
        <w:t xml:space="preserve">Цел за 2023 г. (а): </w:t>
      </w:r>
      <w:r>
        <w:t>316 580 507,80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63 316 101,56</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2023 г. (а): </w:t>
      </w:r>
      <w:r>
        <w:t>450,00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90,00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2023 г. (а): </w:t>
      </w:r>
      <w:r>
        <w:t>0,00</w:t>
      </w:r>
    </w:p>
    <w:p>
      <w:r>
        <w:t xml:space="preserve">Корекции за допълнителни плащания (б): </w:t>
      </w:r>
    </w:p>
    <w:p>
      <w:r>
        <w:t xml:space="preserve">Етапна цел 2018 г. % (в): </w:t>
      </w:r>
      <w:r>
        <w:t>30%</w:t>
      </w:r>
    </w:p>
    <w:p>
      <w:r>
        <w:t xml:space="preserve">Абсолютна стойност на етапната цел (а-б) * в: </w:t>
      </w:r>
      <w:r>
        <w:t>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tc>
      </w:tr>
    </w:tbl>
    <w:p>
      <w:pPr>
        <w:pStyle w:val="Heading3"/>
        <w:jc w:val="left"/>
        <w:rPr>
          <w:b w:val="0"/>
        </w:rPr>
      </w:pPr>
      <w:bookmarkStart w:id="218" w:name="_Toc256000109"/>
      <w:bookmarkStart w:id="219" w:name="_Toc256000372"/>
      <w:r>
        <w:rPr>
          <w:b w:val="0"/>
        </w:rPr>
        <w:t>P4: Възстановяване, опазване и укрепване на екосистемите, свързани със селското и горското стопанство</w:t>
      </w:r>
      <w:bookmarkEnd w:id="219"/>
      <w:bookmarkEnd w:id="218"/>
    </w:p>
    <w:p>
      <w:pPr>
        <w:pStyle w:val="Heading4"/>
        <w:jc w:val="left"/>
        <w:rPr>
          <w:b w:val="0"/>
        </w:rPr>
      </w:pPr>
      <w:r>
        <w:rPr>
          <w:b w:val="0"/>
        </w:rPr>
        <w:t>Общо публични разходи П4 (в евро)</w:t>
      </w:r>
    </w:p>
    <w:p>
      <w:r>
        <w:rPr>
          <w:b w:val="0"/>
        </w:rPr>
        <w:t xml:space="preserve">Applicable: </w:t>
      </w:r>
      <w:r>
        <w:t>Да</w:t>
      </w:r>
    </w:p>
    <w:p>
      <w:r>
        <w:t xml:space="preserve">Цел за 2023 г. (а): </w:t>
      </w:r>
      <w:r>
        <w:t>946 361 355,80</w:t>
      </w:r>
    </w:p>
    <w:p>
      <w:r>
        <w:t xml:space="preserve">Корекции за допълнителни плащания (б): </w:t>
      </w:r>
    </w:p>
    <w:p>
      <w:r>
        <w:t xml:space="preserve">Етапна цел 2018 г. % (в): </w:t>
      </w:r>
      <w:r>
        <w:t>20.69%</w:t>
      </w:r>
    </w:p>
    <w:p>
      <w:r>
        <w:t xml:space="preserve">Абсолютна стойност на етапната цел (а-б) * в: </w:t>
      </w:r>
      <w:r>
        <w:t>195 802 164,52</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2023 г. (а): </w:t>
      </w:r>
      <w:r>
        <w:t>604 000,00</w:t>
      </w:r>
    </w:p>
    <w:p>
      <w:r>
        <w:t xml:space="preserve">Корекции за допълнителни плащания (б): </w:t>
      </w:r>
    </w:p>
    <w:p>
      <w:r>
        <w:t xml:space="preserve">Етапна цел 2018 г. % (в): </w:t>
      </w:r>
      <w:r>
        <w:t>60%</w:t>
      </w:r>
    </w:p>
    <w:p>
      <w:r>
        <w:t xml:space="preserve">Абсолютна стойност на етапната цел (а-б) * в: </w:t>
      </w:r>
      <w:r>
        <w:t>362 400,00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220" w:name="_Toc256000110"/>
      <w:bookmarkStart w:id="221" w:name="_Toc256000373"/>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221"/>
      <w:bookmarkEnd w:id="22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2023 г. (а): </w:t>
      </w:r>
      <w:r>
        <w:t>391 995 248,50</w:t>
      </w:r>
    </w:p>
    <w:p>
      <w:r>
        <w:t xml:space="preserve">Корекции за допълнителни плащания (б): </w:t>
      </w:r>
    </w:p>
    <w:p>
      <w:r>
        <w:t xml:space="preserve">Етапна цел 2018 г. % (в): </w:t>
      </w:r>
      <w:r>
        <w:t>34.39%</w:t>
      </w:r>
    </w:p>
    <w:p>
      <w:r>
        <w:t xml:space="preserve">Абсолютна стойност на етапната цел (а-б) * в: </w:t>
      </w:r>
      <w:r>
        <w:t>134 807 165,96</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2023 г. (а): </w:t>
      </w:r>
      <w:r>
        <w:t>44 050,00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11 012,50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2023 г. (а): </w:t>
      </w:r>
      <w:r>
        <w:t>740,00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148,00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3"/>
        <w:jc w:val="left"/>
        <w:rPr>
          <w:b w:val="0"/>
        </w:rPr>
      </w:pPr>
      <w:bookmarkStart w:id="222" w:name="_Toc256000111"/>
      <w:bookmarkStart w:id="223" w:name="_Toc256000374"/>
      <w:r>
        <w:rPr>
          <w:b w:val="0"/>
        </w:rPr>
        <w:t>P6: Насърчаване на социалното приобщаване, намаляването на бедността и икономическото развитие в селските райони</w:t>
      </w:r>
      <w:bookmarkEnd w:id="223"/>
      <w:bookmarkEnd w:id="222"/>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2023 г. (а): </w:t>
      </w:r>
      <w:r>
        <w:t>815 155 427,60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203 788 856,90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2023 г. (а): </w:t>
      </w:r>
      <w:r>
        <w:t>939,00</w:t>
      </w:r>
    </w:p>
    <w:p>
      <w:r>
        <w:t xml:space="preserve">Корекции за допълнителни плащания (б): </w:t>
      </w:r>
    </w:p>
    <w:p>
      <w:r>
        <w:t xml:space="preserve">Етапна цел 2018 г. % (в): </w:t>
      </w:r>
      <w:r>
        <w:t>25%</w:t>
      </w:r>
    </w:p>
    <w:p>
      <w:r>
        <w:t xml:space="preserve">Абсолютна стойност на етапната цел (а-б) * в: </w:t>
      </w:r>
      <w:r>
        <w:t>234,75</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2023 г. (а): </w:t>
      </w:r>
      <w:r>
        <w:t>1 370 000,00</w:t>
      </w:r>
    </w:p>
    <w:p>
      <w:r>
        <w:t xml:space="preserve">Корекции за допълнителни плащания (б): </w:t>
      </w:r>
    </w:p>
    <w:p>
      <w:r>
        <w:t xml:space="preserve">Етапна цел 2018 г. % (в): </w:t>
      </w:r>
      <w:r>
        <w:t>100%</w:t>
      </w:r>
    </w:p>
    <w:p>
      <w:r>
        <w:t xml:space="preserve">Абсолютна стойност на етапната цел (а-б) * в: </w:t>
      </w:r>
      <w:r>
        <w:t>1 370 000,00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 и прогнози на УО на ПРСР за прилагането на програмата.</w:t>
            </w:r>
          </w:p>
          <w:p/>
        </w:tc>
      </w:tr>
    </w:tbl>
    <w:p>
      <w:pPr>
        <w:sectPr>
          <w:type w:val="nextPage"/>
          <w:pgSz w:w="12240" w:h="15840" w:orient="portrait"/>
          <w:pgMar w:top="900" w:right="900" w:bottom="900" w:left="900" w:header="720" w:footer="720"/>
          <w:cols w:space="720"/>
        </w:sectPr>
      </w:pPr>
    </w:p>
    <w:p>
      <w:pPr>
        <w:pStyle w:val="Heading2"/>
      </w:pPr>
      <w:bookmarkStart w:id="224" w:name="_Toc256000112"/>
      <w:bookmarkStart w:id="225" w:name="_Toc256000375"/>
      <w:r>
        <w:t>Алтернативни показатели</w:t>
      </w:r>
      <w:bookmarkEnd w:id="225"/>
      <w:bookmarkEnd w:id="2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41"/>
        <w:gridCol w:w="1856"/>
        <w:gridCol w:w="2380"/>
        <w:gridCol w:w="1664"/>
        <w:gridCol w:w="2054"/>
        <w:gridCol w:w="1722"/>
        <w:gridCol w:w="19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2023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Етапна цел 2018 г. % (в)</w:t>
            </w:r>
          </w:p>
        </w:tc>
        <w:tc>
          <w:tcPr>
            <w:tcW w:w="800" w:type="pct"/>
            <w:shd w:val="clear" w:color="auto" w:fill="C0C0C0"/>
            <w:noWrap w:val="0"/>
            <w:tcMar>
              <w:top w:w="20" w:type="dxa"/>
              <w:bottom w:w="20" w:type="dxa"/>
            </w:tcMar>
            <w:vAlign w:val="center"/>
          </w:tcPr>
          <w:p>
            <w:pPr>
              <w:jc w:val="left"/>
              <w:rPr>
                <w:b w:val="0"/>
              </w:rPr>
            </w:pPr>
            <w:r>
              <w:rPr>
                <w:b/>
              </w:rPr>
              <w:t>Абсолютна стойност на етапната цел (а-б) * 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змеделска продукция</w:t>
            </w:r>
          </w:p>
        </w:tc>
        <w:tc>
          <w:tcPr>
            <w:tcW w:w="800" w:type="pct"/>
            <w:shd w:val="clear" w:color="auto" w:fill="FFFFFF"/>
            <w:noWrap w:val="0"/>
            <w:tcMar>
              <w:top w:w="20" w:type="dxa"/>
              <w:bottom w:w="20" w:type="dxa"/>
            </w:tcMar>
            <w:vAlign w:val="center"/>
          </w:tcPr>
          <w:p>
            <w:pPr>
              <w:jc w:val="right"/>
            </w:pPr>
            <w:r>
              <w:t>450,00</w:t>
            </w:r>
          </w:p>
        </w:tc>
        <w:tc>
          <w:tcPr>
            <w:tcW w:w="800" w:type="pct"/>
            <w:shd w:val="clear" w:color="auto" w:fill="FFFFFF"/>
            <w:noWrap w:val="0"/>
            <w:tcMar>
              <w:top w:w="20" w:type="dxa"/>
              <w:bottom w:w="20" w:type="dxa"/>
            </w:tcMar>
            <w:vAlign w:val="center"/>
          </w:tcPr>
          <w:p>
            <w:pPr>
              <w:jc w:val="right"/>
            </w:pPr>
          </w:p>
        </w:tc>
        <w:tc>
          <w:tcPr>
            <w:tcW w:w="400" w:type="pct"/>
            <w:shd w:val="clear" w:color="auto" w:fill="FFFFFF"/>
            <w:noWrap w:val="0"/>
            <w:tcMar>
              <w:top w:w="20" w:type="dxa"/>
              <w:bottom w:w="20" w:type="dxa"/>
            </w:tcMar>
            <w:vAlign w:val="center"/>
          </w:tcPr>
          <w:p>
            <w:pPr>
              <w:jc w:val="right"/>
            </w:pPr>
            <w:r>
              <w:t>20%</w:t>
            </w:r>
          </w:p>
        </w:tc>
        <w:tc>
          <w:tcPr>
            <w:tcW w:w="800" w:type="pct"/>
            <w:shd w:val="clear" w:color="auto" w:fill="FFFFFF"/>
            <w:noWrap w:val="0"/>
            <w:tcMar>
              <w:top w:w="20" w:type="dxa"/>
              <w:bottom w:w="20" w:type="dxa"/>
            </w:tcMar>
            <w:vAlign w:val="center"/>
          </w:tcPr>
          <w:p>
            <w:pPr>
              <w:jc w:val="right"/>
            </w:pPr>
            <w:r>
              <w:t>90,00</w:t>
            </w:r>
          </w:p>
        </w:tc>
      </w:tr>
    </w:tbl>
    <w:p>
      <w:pPr>
        <w:rPr>
          <w:b/>
        </w:rPr>
      </w:pPr>
    </w:p>
    <w:p>
      <w:pPr>
        <w:pStyle w:val="Heading3"/>
        <w:jc w:val="left"/>
        <w:rPr>
          <w:b w:val="0"/>
        </w:rPr>
      </w:pPr>
      <w:bookmarkStart w:id="226" w:name="_Toc256000113"/>
      <w:bookmarkStart w:id="227" w:name="_Toc256000376"/>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227"/>
      <w:bookmarkEnd w:id="226"/>
    </w:p>
    <w:p>
      <w:pPr>
        <w:pStyle w:val="Heading4"/>
        <w:jc w:val="left"/>
        <w:rPr>
          <w:b w:val="0"/>
        </w:rPr>
      </w:pPr>
      <w:r>
        <w:rPr>
          <w:b w:val="0"/>
        </w:rPr>
        <w:t>Брой операции  подпомогнати по M4 "Инвестиции във физически активи" за преработка и маркетинг на змеделска продукция</w:t>
      </w:r>
    </w:p>
    <w:p>
      <w:r>
        <w:rPr>
          <w:b w:val="0"/>
        </w:rPr>
        <w:t xml:space="preserve">Applicable: </w:t>
      </w:r>
      <w:r>
        <w:t>Да</w:t>
      </w:r>
    </w:p>
    <w:p>
      <w:r>
        <w:t xml:space="preserve">Цел за 2023 г. (а): </w:t>
      </w:r>
      <w:r>
        <w:t>450,00</w:t>
      </w:r>
    </w:p>
    <w:p>
      <w:r>
        <w:t xml:space="preserve">Корекции за допълнителни плащания (б): </w:t>
      </w:r>
    </w:p>
    <w:p>
      <w:r>
        <w:t xml:space="preserve">Етапна цел 2018 г. % (в): </w:t>
      </w:r>
      <w:r>
        <w:t>20%</w:t>
      </w:r>
    </w:p>
    <w:p>
      <w:r>
        <w:t xml:space="preserve">Абсолютна стойност на етапната цел (а-б) * в: </w:t>
      </w:r>
      <w:r>
        <w:t>90,00</w:t>
      </w:r>
    </w:p>
    <w:p>
      <w:r>
        <w:t>Обосновка за определянето на етапната цел: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40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800" w:type="pct"/>
            <w:shd w:val="clear" w:color="auto" w:fill="FFFFFF"/>
            <w:noWrap w:val="0"/>
            <w:tcMar>
              <w:top w:w="20" w:type="dxa"/>
              <w:bottom w:w="20" w:type="dxa"/>
            </w:tcMar>
            <w:vAlign w:val="center"/>
          </w:tcPr>
          <w:p>
            <w:r>
              <w:t>Целта е определена на база предишно изпълнение</w:t>
            </w:r>
          </w:p>
        </w:tc>
      </w:tr>
    </w:tbl>
    <w:p>
      <w:pPr>
        <w:pStyle w:val="Heading2"/>
      </w:pPr>
      <w:r>
        <w:br w:type="page"/>
      </w:r>
      <w:bookmarkStart w:id="228" w:name="_Toc256000114"/>
      <w:bookmarkStart w:id="229" w:name="_Toc256000377"/>
      <w:r>
        <w:t>Резерв</w:t>
      </w:r>
      <w:bookmarkEnd w:id="229"/>
      <w:bookmarkEnd w:id="2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839"/>
        <w:gridCol w:w="1795"/>
        <w:gridCol w:w="1853"/>
        <w:gridCol w:w="1853"/>
        <w:gridCol w:w="1540"/>
        <w:gridCol w:w="1629"/>
        <w:gridCol w:w="151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w:t>
            </w:r>
          </w:p>
        </w:tc>
        <w:tc>
          <w:tcPr>
            <w:tcW w:w="850" w:type="pct"/>
            <w:shd w:val="clear" w:color="auto" w:fill="C0C0C0"/>
            <w:noWrap w:val="0"/>
            <w:tcMar>
              <w:top w:w="20" w:type="dxa"/>
              <w:bottom w:w="20" w:type="dxa"/>
            </w:tcMar>
            <w:vAlign w:val="center"/>
          </w:tcPr>
          <w:p>
            <w:pPr>
              <w:jc w:val="left"/>
              <w:rPr>
                <w:b/>
              </w:rPr>
            </w:pPr>
            <w:r>
              <w:rPr>
                <w:b/>
              </w:rPr>
              <w:t>Общо планирано участие от Съюза (в евро), от което се заделят средства за резерва за изпълнение</w:t>
            </w:r>
          </w:p>
        </w:tc>
        <w:tc>
          <w:tcPr>
            <w:tcW w:w="850" w:type="pct"/>
            <w:shd w:val="clear" w:color="auto" w:fill="C0C0C0"/>
            <w:noWrap w:val="0"/>
            <w:tcMar>
              <w:top w:w="20" w:type="dxa"/>
              <w:bottom w:w="20" w:type="dxa"/>
            </w:tcMar>
            <w:vAlign w:val="center"/>
          </w:tcPr>
          <w:p>
            <w:pPr>
              <w:jc w:val="left"/>
              <w:rPr>
                <w:b/>
              </w:rPr>
            </w:pPr>
            <w:r>
              <w:rPr>
                <w:b/>
              </w:rPr>
              <w:t>Резерв за изпълнение (в евро)</w:t>
            </w:r>
          </w:p>
        </w:tc>
        <w:tc>
          <w:tcPr>
            <w:tcW w:w="450" w:type="pct"/>
            <w:shd w:val="clear" w:color="auto" w:fill="C0C0C0"/>
            <w:noWrap w:val="0"/>
            <w:tcMar>
              <w:top w:w="20" w:type="dxa"/>
              <w:bottom w:w="20" w:type="dxa"/>
            </w:tcMar>
            <w:vAlign w:val="center"/>
          </w:tcPr>
          <w:p>
            <w:pPr>
              <w:jc w:val="left"/>
              <w:rPr>
                <w:b/>
              </w:rPr>
            </w:pPr>
            <w:r>
              <w:rPr>
                <w:b/>
              </w:rPr>
              <w:t>Минимален размер на резерва за изпълнение (минимум 5 %)</w:t>
            </w:r>
          </w:p>
        </w:tc>
        <w:tc>
          <w:tcPr>
            <w:tcW w:w="450" w:type="pct"/>
            <w:shd w:val="clear" w:color="auto" w:fill="C0C0C0"/>
            <w:noWrap w:val="0"/>
            <w:tcMar>
              <w:top w:w="20" w:type="dxa"/>
              <w:bottom w:w="20" w:type="dxa"/>
            </w:tcMar>
            <w:vAlign w:val="center"/>
          </w:tcPr>
          <w:p>
            <w:pPr>
              <w:jc w:val="left"/>
              <w:rPr>
                <w:b/>
              </w:rPr>
            </w:pPr>
            <w:r>
              <w:rPr>
                <w:b/>
              </w:rPr>
              <w:t>Максимален размер на резерва за изпълнение (максимум 7 %)</w:t>
            </w:r>
          </w:p>
        </w:tc>
        <w:tc>
          <w:tcPr>
            <w:tcW w:w="450" w:type="pct"/>
            <w:shd w:val="clear" w:color="auto" w:fill="C0C0C0"/>
            <w:noWrap w:val="0"/>
            <w:tcMar>
              <w:top w:w="20" w:type="dxa"/>
              <w:bottom w:w="20" w:type="dxa"/>
            </w:tcMar>
            <w:vAlign w:val="center"/>
          </w:tcPr>
          <w:p>
            <w:pPr>
              <w:jc w:val="left"/>
              <w:rPr>
                <w:b w:val="0"/>
              </w:rPr>
            </w:pPr>
            <w:r>
              <w:rPr>
                <w:b/>
              </w:rPr>
              <w:t>Процент на резерва за изпълнение</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450" w:type="pct"/>
            <w:shd w:val="clear" w:color="auto" w:fill="FFFFFF"/>
            <w:noWrap w:val="0"/>
            <w:tcMar>
              <w:top w:w="20" w:type="dxa"/>
              <w:bottom w:w="20" w:type="dxa"/>
            </w:tcMar>
            <w:vAlign w:val="center"/>
          </w:tcPr>
          <w:p>
            <w:pPr>
              <w:jc w:val="right"/>
              <w:rPr>
                <w:b w:val="0"/>
              </w:rPr>
            </w:pPr>
            <w:r>
              <w:rPr>
                <w:b w:val="0"/>
              </w:rPr>
              <w:t>340 046 912,00</w:t>
            </w:r>
          </w:p>
        </w:tc>
        <w:tc>
          <w:tcPr>
            <w:tcW w:w="450" w:type="pct"/>
            <w:shd w:val="clear" w:color="auto" w:fill="FFFFFF"/>
            <w:noWrap w:val="0"/>
            <w:tcMar>
              <w:top w:w="20" w:type="dxa"/>
              <w:bottom w:w="20" w:type="dxa"/>
            </w:tcMar>
            <w:vAlign w:val="center"/>
          </w:tcPr>
          <w:p>
            <w:pPr>
              <w:jc w:val="right"/>
              <w:rPr>
                <w:b w:val="0"/>
              </w:rPr>
            </w:pPr>
            <w:r>
              <w:rPr>
                <w:b w:val="0"/>
              </w:rPr>
              <w:t>317 198 959,47</w:t>
            </w:r>
          </w:p>
        </w:tc>
        <w:tc>
          <w:tcPr>
            <w:tcW w:w="450" w:type="pct"/>
            <w:shd w:val="clear" w:color="auto" w:fill="FFFFFF"/>
            <w:noWrap w:val="0"/>
            <w:tcMar>
              <w:top w:w="20" w:type="dxa"/>
              <w:bottom w:w="20" w:type="dxa"/>
            </w:tcMar>
            <w:vAlign w:val="center"/>
          </w:tcPr>
          <w:p>
            <w:pPr>
              <w:jc w:val="right"/>
              <w:rPr>
                <w:b w:val="0"/>
              </w:rPr>
            </w:pPr>
            <w:r>
              <w:rPr>
                <w:b w:val="0"/>
              </w:rPr>
              <w:t>17 852 632,00</w:t>
            </w:r>
          </w:p>
        </w:tc>
        <w:tc>
          <w:tcPr>
            <w:tcW w:w="450" w:type="pct"/>
            <w:shd w:val="clear" w:color="auto" w:fill="FFFFFF"/>
            <w:noWrap w:val="0"/>
            <w:tcMar>
              <w:top w:w="20" w:type="dxa"/>
              <w:bottom w:w="20" w:type="dxa"/>
            </w:tcMar>
            <w:vAlign w:val="center"/>
          </w:tcPr>
          <w:p>
            <w:pPr>
              <w:jc w:val="right"/>
              <w:rPr>
                <w:b w:val="0"/>
              </w:rPr>
            </w:pPr>
            <w:r>
              <w:rPr>
                <w:b w:val="0"/>
              </w:rPr>
              <w:t>15 859 947,97</w:t>
            </w:r>
          </w:p>
        </w:tc>
        <w:tc>
          <w:tcPr>
            <w:tcW w:w="450" w:type="pct"/>
            <w:shd w:val="clear" w:color="auto" w:fill="FFFFFF"/>
            <w:noWrap w:val="0"/>
            <w:tcMar>
              <w:top w:w="20" w:type="dxa"/>
              <w:bottom w:w="20" w:type="dxa"/>
            </w:tcMar>
            <w:vAlign w:val="center"/>
          </w:tcPr>
          <w:p>
            <w:pPr>
              <w:jc w:val="right"/>
              <w:rPr>
                <w:b w:val="0"/>
              </w:rPr>
            </w:pPr>
            <w:r>
              <w:rPr>
                <w:b w:val="0"/>
              </w:rPr>
              <w:t>22 203 927,16</w:t>
            </w:r>
          </w:p>
        </w:tc>
        <w:tc>
          <w:tcPr>
            <w:tcW w:w="450" w:type="pct"/>
            <w:shd w:val="clear" w:color="auto" w:fill="FFFFFF"/>
            <w:noWrap w:val="0"/>
            <w:tcMar>
              <w:top w:w="20" w:type="dxa"/>
              <w:bottom w:w="20" w:type="dxa"/>
            </w:tcMar>
            <w:vAlign w:val="center"/>
          </w:tcPr>
          <w:p>
            <w:pPr>
              <w:jc w:val="right"/>
              <w:rPr>
                <w:b w:val="0"/>
              </w:rPr>
            </w:pPr>
            <w:r>
              <w:rPr>
                <w:b w:val="0"/>
              </w:rPr>
              <w:t>5.63%</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450" w:type="pct"/>
            <w:shd w:val="clear" w:color="auto" w:fill="FFFFFF"/>
            <w:noWrap w:val="0"/>
            <w:tcMar>
              <w:top w:w="20" w:type="dxa"/>
              <w:bottom w:w="20" w:type="dxa"/>
            </w:tcMar>
            <w:vAlign w:val="center"/>
          </w:tcPr>
          <w:p>
            <w:pPr>
              <w:jc w:val="right"/>
              <w:rPr>
                <w:b w:val="0"/>
              </w:rPr>
            </w:pPr>
            <w:r>
              <w:rPr>
                <w:b w:val="0"/>
              </w:rPr>
              <w:t>269 981 007,00</w:t>
            </w:r>
          </w:p>
        </w:tc>
        <w:tc>
          <w:tcPr>
            <w:tcW w:w="450" w:type="pct"/>
            <w:shd w:val="clear" w:color="auto" w:fill="FFFFFF"/>
            <w:noWrap w:val="0"/>
            <w:tcMar>
              <w:top w:w="20" w:type="dxa"/>
              <w:bottom w:w="20" w:type="dxa"/>
            </w:tcMar>
            <w:vAlign w:val="center"/>
          </w:tcPr>
          <w:p>
            <w:pPr>
              <w:jc w:val="right"/>
              <w:rPr>
                <w:b w:val="0"/>
              </w:rPr>
            </w:pPr>
            <w:r>
              <w:rPr>
                <w:b w:val="0"/>
              </w:rPr>
              <w:t>274 379 613,36</w:t>
            </w:r>
          </w:p>
        </w:tc>
        <w:tc>
          <w:tcPr>
            <w:tcW w:w="450" w:type="pct"/>
            <w:shd w:val="clear" w:color="auto" w:fill="FFFFFF"/>
            <w:noWrap w:val="0"/>
            <w:tcMar>
              <w:top w:w="20" w:type="dxa"/>
              <w:bottom w:w="20" w:type="dxa"/>
            </w:tcMar>
            <w:vAlign w:val="center"/>
          </w:tcPr>
          <w:p>
            <w:pPr>
              <w:jc w:val="right"/>
              <w:rPr>
                <w:b w:val="0"/>
              </w:rPr>
            </w:pPr>
            <w:r>
              <w:rPr>
                <w:b w:val="0"/>
              </w:rPr>
              <w:t>16 462 776,80</w:t>
            </w:r>
          </w:p>
        </w:tc>
        <w:tc>
          <w:tcPr>
            <w:tcW w:w="450" w:type="pct"/>
            <w:shd w:val="clear" w:color="auto" w:fill="FFFFFF"/>
            <w:noWrap w:val="0"/>
            <w:tcMar>
              <w:top w:w="20" w:type="dxa"/>
              <w:bottom w:w="20" w:type="dxa"/>
            </w:tcMar>
            <w:vAlign w:val="center"/>
          </w:tcPr>
          <w:p>
            <w:pPr>
              <w:jc w:val="right"/>
              <w:rPr>
                <w:b w:val="0"/>
              </w:rPr>
            </w:pPr>
            <w:r>
              <w:rPr>
                <w:b w:val="0"/>
              </w:rPr>
              <w:t>13 718 980,67</w:t>
            </w:r>
          </w:p>
        </w:tc>
        <w:tc>
          <w:tcPr>
            <w:tcW w:w="450" w:type="pct"/>
            <w:shd w:val="clear" w:color="auto" w:fill="FFFFFF"/>
            <w:noWrap w:val="0"/>
            <w:tcMar>
              <w:top w:w="20" w:type="dxa"/>
              <w:bottom w:w="20" w:type="dxa"/>
            </w:tcMar>
            <w:vAlign w:val="center"/>
          </w:tcPr>
          <w:p>
            <w:pPr>
              <w:jc w:val="right"/>
              <w:rPr>
                <w:b w:val="0"/>
              </w:rPr>
            </w:pPr>
            <w:r>
              <w:rPr>
                <w:b w:val="0"/>
              </w:rPr>
              <w:t>19 206 572,94</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450" w:type="pct"/>
            <w:shd w:val="clear" w:color="auto" w:fill="FFFFFF"/>
            <w:noWrap w:val="0"/>
            <w:tcMar>
              <w:top w:w="20" w:type="dxa"/>
              <w:bottom w:w="20" w:type="dxa"/>
            </w:tcMar>
            <w:vAlign w:val="center"/>
          </w:tcPr>
          <w:p>
            <w:pPr>
              <w:jc w:val="right"/>
              <w:rPr>
                <w:b w:val="0"/>
              </w:rPr>
            </w:pPr>
            <w:r>
              <w:rPr>
                <w:b w:val="0"/>
              </w:rPr>
              <w:t>713 940 233,00</w:t>
            </w:r>
          </w:p>
        </w:tc>
        <w:tc>
          <w:tcPr>
            <w:tcW w:w="450" w:type="pct"/>
            <w:shd w:val="clear" w:color="auto" w:fill="FFFFFF"/>
            <w:noWrap w:val="0"/>
            <w:tcMar>
              <w:top w:w="20" w:type="dxa"/>
              <w:bottom w:w="20" w:type="dxa"/>
            </w:tcMar>
            <w:vAlign w:val="center"/>
          </w:tcPr>
          <w:p>
            <w:pPr>
              <w:jc w:val="right"/>
              <w:rPr>
                <w:b w:val="0"/>
              </w:rPr>
            </w:pPr>
            <w:r>
              <w:rPr>
                <w:b w:val="0"/>
              </w:rPr>
              <w:t>725 571 947,70</w:t>
            </w:r>
          </w:p>
        </w:tc>
        <w:tc>
          <w:tcPr>
            <w:tcW w:w="450" w:type="pct"/>
            <w:shd w:val="clear" w:color="auto" w:fill="FFFFFF"/>
            <w:noWrap w:val="0"/>
            <w:tcMar>
              <w:top w:w="20" w:type="dxa"/>
              <w:bottom w:w="20" w:type="dxa"/>
            </w:tcMar>
            <w:vAlign w:val="center"/>
          </w:tcPr>
          <w:p>
            <w:pPr>
              <w:jc w:val="right"/>
              <w:rPr>
                <w:b w:val="0"/>
              </w:rPr>
            </w:pPr>
            <w:r>
              <w:rPr>
                <w:b w:val="0"/>
              </w:rPr>
              <w:t>45 028 266,51</w:t>
            </w:r>
          </w:p>
        </w:tc>
        <w:tc>
          <w:tcPr>
            <w:tcW w:w="450" w:type="pct"/>
            <w:shd w:val="clear" w:color="auto" w:fill="FFFFFF"/>
            <w:noWrap w:val="0"/>
            <w:tcMar>
              <w:top w:w="20" w:type="dxa"/>
              <w:bottom w:w="20" w:type="dxa"/>
            </w:tcMar>
            <w:vAlign w:val="center"/>
          </w:tcPr>
          <w:p>
            <w:pPr>
              <w:jc w:val="right"/>
              <w:rPr>
                <w:b w:val="0"/>
              </w:rPr>
            </w:pPr>
            <w:r>
              <w:rPr>
                <w:b w:val="0"/>
              </w:rPr>
              <w:t>36 278 597,39</w:t>
            </w:r>
          </w:p>
        </w:tc>
        <w:tc>
          <w:tcPr>
            <w:tcW w:w="450" w:type="pct"/>
            <w:shd w:val="clear" w:color="auto" w:fill="FFFFFF"/>
            <w:noWrap w:val="0"/>
            <w:tcMar>
              <w:top w:w="20" w:type="dxa"/>
              <w:bottom w:w="20" w:type="dxa"/>
            </w:tcMar>
            <w:vAlign w:val="center"/>
          </w:tcPr>
          <w:p>
            <w:pPr>
              <w:jc w:val="right"/>
              <w:rPr>
                <w:b w:val="0"/>
              </w:rPr>
            </w:pPr>
            <w:r>
              <w:rPr>
                <w:b w:val="0"/>
              </w:rPr>
              <w:t>50 790 036,34</w:t>
            </w:r>
          </w:p>
        </w:tc>
        <w:tc>
          <w:tcPr>
            <w:tcW w:w="450" w:type="pct"/>
            <w:shd w:val="clear" w:color="auto" w:fill="FFFFFF"/>
            <w:noWrap w:val="0"/>
            <w:tcMar>
              <w:top w:w="20" w:type="dxa"/>
              <w:bottom w:w="20" w:type="dxa"/>
            </w:tcMar>
            <w:vAlign w:val="center"/>
          </w:tcPr>
          <w:p>
            <w:pPr>
              <w:jc w:val="right"/>
              <w:rPr>
                <w:b w:val="0"/>
              </w:rPr>
            </w:pPr>
            <w:r>
              <w:rPr>
                <w:b w:val="0"/>
              </w:rPr>
              <w:t>6.21%</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450" w:type="pct"/>
            <w:shd w:val="clear" w:color="auto" w:fill="FFFFFF"/>
            <w:noWrap w:val="0"/>
            <w:tcMar>
              <w:top w:w="20" w:type="dxa"/>
              <w:bottom w:w="20" w:type="dxa"/>
            </w:tcMar>
            <w:vAlign w:val="center"/>
          </w:tcPr>
          <w:p>
            <w:pPr>
              <w:jc w:val="right"/>
              <w:rPr>
                <w:b w:val="0"/>
              </w:rPr>
            </w:pPr>
            <w:r>
              <w:rPr>
                <w:b w:val="0"/>
              </w:rPr>
              <w:t>305 799 212,00</w:t>
            </w:r>
          </w:p>
        </w:tc>
        <w:tc>
          <w:tcPr>
            <w:tcW w:w="450" w:type="pct"/>
            <w:shd w:val="clear" w:color="auto" w:fill="FFFFFF"/>
            <w:noWrap w:val="0"/>
            <w:tcMar>
              <w:top w:w="20" w:type="dxa"/>
              <w:bottom w:w="20" w:type="dxa"/>
            </w:tcMar>
            <w:vAlign w:val="center"/>
          </w:tcPr>
          <w:p>
            <w:pPr>
              <w:jc w:val="right"/>
              <w:rPr>
                <w:b w:val="0"/>
              </w:rPr>
            </w:pPr>
            <w:r>
              <w:rPr>
                <w:b w:val="0"/>
              </w:rPr>
              <w:t>310 781 378,61</w:t>
            </w:r>
          </w:p>
        </w:tc>
        <w:tc>
          <w:tcPr>
            <w:tcW w:w="450" w:type="pct"/>
            <w:shd w:val="clear" w:color="auto" w:fill="FFFFFF"/>
            <w:noWrap w:val="0"/>
            <w:tcMar>
              <w:top w:w="20" w:type="dxa"/>
              <w:bottom w:w="20" w:type="dxa"/>
            </w:tcMar>
            <w:vAlign w:val="center"/>
          </w:tcPr>
          <w:p>
            <w:pPr>
              <w:jc w:val="right"/>
              <w:rPr>
                <w:b w:val="0"/>
              </w:rPr>
            </w:pPr>
            <w:r>
              <w:rPr>
                <w:b w:val="0"/>
              </w:rPr>
              <w:t>18 332 238,63</w:t>
            </w:r>
          </w:p>
        </w:tc>
        <w:tc>
          <w:tcPr>
            <w:tcW w:w="450" w:type="pct"/>
            <w:shd w:val="clear" w:color="auto" w:fill="FFFFFF"/>
            <w:noWrap w:val="0"/>
            <w:tcMar>
              <w:top w:w="20" w:type="dxa"/>
              <w:bottom w:w="20" w:type="dxa"/>
            </w:tcMar>
            <w:vAlign w:val="center"/>
          </w:tcPr>
          <w:p>
            <w:pPr>
              <w:jc w:val="right"/>
              <w:rPr>
                <w:b w:val="0"/>
              </w:rPr>
            </w:pPr>
            <w:r>
              <w:rPr>
                <w:b w:val="0"/>
              </w:rPr>
              <w:t>15 539 068,93</w:t>
            </w:r>
          </w:p>
        </w:tc>
        <w:tc>
          <w:tcPr>
            <w:tcW w:w="450" w:type="pct"/>
            <w:shd w:val="clear" w:color="auto" w:fill="FFFFFF"/>
            <w:noWrap w:val="0"/>
            <w:tcMar>
              <w:top w:w="20" w:type="dxa"/>
              <w:bottom w:w="20" w:type="dxa"/>
            </w:tcMar>
            <w:vAlign w:val="center"/>
          </w:tcPr>
          <w:p>
            <w:pPr>
              <w:jc w:val="right"/>
              <w:rPr>
                <w:b w:val="0"/>
              </w:rPr>
            </w:pPr>
            <w:r>
              <w:rPr>
                <w:b w:val="0"/>
              </w:rPr>
              <w:t>21 754 696,50</w:t>
            </w:r>
          </w:p>
        </w:tc>
        <w:tc>
          <w:tcPr>
            <w:tcW w:w="450" w:type="pct"/>
            <w:shd w:val="clear" w:color="auto" w:fill="FFFFFF"/>
            <w:noWrap w:val="0"/>
            <w:tcMar>
              <w:top w:w="20" w:type="dxa"/>
              <w:bottom w:w="20" w:type="dxa"/>
            </w:tcMar>
            <w:vAlign w:val="center"/>
          </w:tcPr>
          <w:p>
            <w:pPr>
              <w:jc w:val="right"/>
              <w:rPr>
                <w:b w:val="0"/>
              </w:rPr>
            </w:pPr>
            <w:r>
              <w:rPr>
                <w:b w:val="0"/>
              </w:rPr>
              <w:t>5.9%</w:t>
            </w:r>
          </w:p>
        </w:tc>
      </w:tr>
      <w:tr>
        <w:tblPrEx>
          <w:tblW w:w="5000" w:type="pct"/>
          <w:tblCellMar>
            <w:left w:w="108" w:type="dxa"/>
            <w:right w:w="108" w:type="dxa"/>
          </w:tblCellMar>
        </w:tblPrEx>
        <w:tc>
          <w:tcPr>
            <w:tcW w:w="4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450" w:type="pct"/>
            <w:shd w:val="clear" w:color="auto" w:fill="FFFFFF"/>
            <w:noWrap w:val="0"/>
            <w:tcMar>
              <w:top w:w="20" w:type="dxa"/>
              <w:bottom w:w="20" w:type="dxa"/>
            </w:tcMar>
            <w:vAlign w:val="center"/>
          </w:tcPr>
          <w:p>
            <w:pPr>
              <w:jc w:val="right"/>
              <w:rPr>
                <w:b w:val="0"/>
              </w:rPr>
            </w:pPr>
            <w:r>
              <w:rPr>
                <w:b w:val="0"/>
              </w:rPr>
              <w:t>699 456 328,00</w:t>
            </w:r>
          </w:p>
        </w:tc>
        <w:tc>
          <w:tcPr>
            <w:tcW w:w="450" w:type="pct"/>
            <w:shd w:val="clear" w:color="auto" w:fill="FFFFFF"/>
            <w:noWrap w:val="0"/>
            <w:tcMar>
              <w:top w:w="20" w:type="dxa"/>
              <w:bottom w:w="20" w:type="dxa"/>
            </w:tcMar>
            <w:vAlign w:val="center"/>
          </w:tcPr>
          <w:p>
            <w:pPr>
              <w:jc w:val="right"/>
              <w:rPr>
                <w:b w:val="0"/>
              </w:rPr>
            </w:pPr>
            <w:r>
              <w:rPr>
                <w:b w:val="0"/>
              </w:rPr>
              <w:t>710 852 066,86</w:t>
            </w:r>
          </w:p>
        </w:tc>
        <w:tc>
          <w:tcPr>
            <w:tcW w:w="450" w:type="pct"/>
            <w:shd w:val="clear" w:color="auto" w:fill="FFFFFF"/>
            <w:noWrap w:val="0"/>
            <w:tcMar>
              <w:top w:w="20" w:type="dxa"/>
              <w:bottom w:w="20" w:type="dxa"/>
            </w:tcMar>
            <w:vAlign w:val="center"/>
          </w:tcPr>
          <w:p>
            <w:pPr>
              <w:jc w:val="right"/>
              <w:rPr>
                <w:b w:val="0"/>
              </w:rPr>
            </w:pPr>
            <w:r>
              <w:rPr>
                <w:b w:val="0"/>
              </w:rPr>
              <w:t>42 651 124,00</w:t>
            </w:r>
          </w:p>
        </w:tc>
        <w:tc>
          <w:tcPr>
            <w:tcW w:w="450" w:type="pct"/>
            <w:shd w:val="clear" w:color="auto" w:fill="FFFFFF"/>
            <w:noWrap w:val="0"/>
            <w:tcMar>
              <w:top w:w="20" w:type="dxa"/>
              <w:bottom w:w="20" w:type="dxa"/>
            </w:tcMar>
            <w:vAlign w:val="center"/>
          </w:tcPr>
          <w:p>
            <w:pPr>
              <w:jc w:val="right"/>
              <w:rPr>
                <w:b w:val="0"/>
              </w:rPr>
            </w:pPr>
            <w:r>
              <w:rPr>
                <w:b w:val="0"/>
              </w:rPr>
              <w:t>35 542 603,34</w:t>
            </w:r>
          </w:p>
        </w:tc>
        <w:tc>
          <w:tcPr>
            <w:tcW w:w="450" w:type="pct"/>
            <w:shd w:val="clear" w:color="auto" w:fill="FFFFFF"/>
            <w:noWrap w:val="0"/>
            <w:tcMar>
              <w:top w:w="20" w:type="dxa"/>
              <w:bottom w:w="20" w:type="dxa"/>
            </w:tcMar>
            <w:vAlign w:val="center"/>
          </w:tcPr>
          <w:p>
            <w:pPr>
              <w:jc w:val="right"/>
              <w:rPr>
                <w:b w:val="0"/>
              </w:rPr>
            </w:pPr>
            <w:r>
              <w:rPr>
                <w:b w:val="0"/>
              </w:rPr>
              <w:t>49 759 644,68</w:t>
            </w:r>
          </w:p>
        </w:tc>
        <w:tc>
          <w:tcPr>
            <w:tcW w:w="450" w:type="pct"/>
            <w:shd w:val="clear" w:color="auto" w:fill="FFFFFF"/>
            <w:noWrap w:val="0"/>
            <w:tcMar>
              <w:top w:w="20" w:type="dxa"/>
              <w:bottom w:w="20" w:type="dxa"/>
            </w:tcMar>
            <w:vAlign w:val="center"/>
          </w:tcPr>
          <w:p>
            <w:pPr>
              <w:jc w:val="right"/>
              <w:rPr>
                <w:b w:val="0"/>
              </w:rPr>
            </w:pPr>
            <w:r>
              <w:rPr>
                <w:b w:val="0"/>
              </w:rPr>
              <w:t>6%</w:t>
            </w:r>
          </w:p>
        </w:tc>
      </w:tr>
      <w:tr>
        <w:tblPrEx>
          <w:tblW w:w="5000" w:type="pct"/>
          <w:tblCellMar>
            <w:left w:w="108" w:type="dxa"/>
            <w:right w:w="108" w:type="dxa"/>
          </w:tblCellMar>
        </w:tblPrEx>
        <w:tc>
          <w:tcPr>
            <w:tcW w:w="450" w:type="pct"/>
            <w:shd w:val="clear" w:color="auto" w:fill="C0C0C0"/>
            <w:noWrap w:val="0"/>
            <w:tcMar>
              <w:top w:w="20" w:type="dxa"/>
              <w:bottom w:w="20" w:type="dxa"/>
            </w:tcMar>
            <w:vAlign w:val="center"/>
          </w:tcPr>
          <w:p>
            <w:pPr>
              <w:jc w:val="center"/>
              <w:rPr>
                <w:b/>
              </w:rPr>
            </w:pPr>
            <w:r>
              <w:rPr>
                <w:b/>
              </w:rPr>
              <w:t>Общо</w:t>
            </w:r>
          </w:p>
        </w:tc>
        <w:tc>
          <w:tcPr>
            <w:tcW w:w="450" w:type="pct"/>
            <w:shd w:val="clear" w:color="auto" w:fill="C0C0C0"/>
            <w:noWrap w:val="0"/>
            <w:tcMar>
              <w:top w:w="20" w:type="dxa"/>
              <w:bottom w:w="20" w:type="dxa"/>
            </w:tcMar>
            <w:vAlign w:val="center"/>
          </w:tcPr>
          <w:p>
            <w:pPr>
              <w:jc w:val="right"/>
              <w:rPr>
                <w:b/>
              </w:rPr>
            </w:pPr>
            <w:r>
              <w:rPr>
                <w:b/>
              </w:rPr>
              <w:t>2 329 223 692,00</w:t>
            </w:r>
          </w:p>
        </w:tc>
        <w:tc>
          <w:tcPr>
            <w:tcW w:w="450" w:type="pct"/>
            <w:shd w:val="clear" w:color="auto" w:fill="C0C0C0"/>
            <w:noWrap w:val="0"/>
            <w:tcMar>
              <w:top w:w="20" w:type="dxa"/>
              <w:bottom w:w="20" w:type="dxa"/>
            </w:tcMar>
            <w:vAlign w:val="center"/>
          </w:tcPr>
          <w:p>
            <w:pPr>
              <w:jc w:val="right"/>
              <w:rPr>
                <w:b/>
              </w:rPr>
            </w:pPr>
            <w:r>
              <w:rPr>
                <w:b/>
              </w:rPr>
              <w:t>2 338 783 966,00</w:t>
            </w:r>
          </w:p>
        </w:tc>
        <w:tc>
          <w:tcPr>
            <w:tcW w:w="450" w:type="pct"/>
            <w:shd w:val="clear" w:color="auto" w:fill="C0C0C0"/>
            <w:noWrap w:val="0"/>
            <w:tcMar>
              <w:top w:w="20" w:type="dxa"/>
              <w:bottom w:w="20" w:type="dxa"/>
            </w:tcMar>
            <w:vAlign w:val="center"/>
          </w:tcPr>
          <w:p>
            <w:pPr>
              <w:jc w:val="right"/>
              <w:rPr>
                <w:b/>
              </w:rPr>
            </w:pPr>
            <w:r>
              <w:rPr>
                <w:b/>
              </w:rPr>
              <w:t>140 327 037,94</w:t>
            </w:r>
          </w:p>
        </w:tc>
        <w:tc>
          <w:tcPr>
            <w:tcW w:w="450" w:type="pct"/>
            <w:shd w:val="clear" w:color="auto" w:fill="C0C0C0"/>
            <w:noWrap w:val="0"/>
            <w:tcMar>
              <w:top w:w="20" w:type="dxa"/>
              <w:bottom w:w="20" w:type="dxa"/>
            </w:tcMar>
            <w:vAlign w:val="center"/>
          </w:tcPr>
          <w:p>
            <w:pPr>
              <w:jc w:val="right"/>
              <w:rPr>
                <w:b/>
              </w:rPr>
            </w:pPr>
            <w:r>
              <w:rPr>
                <w:b/>
              </w:rPr>
              <w:t>116 939 198,30</w:t>
            </w:r>
          </w:p>
        </w:tc>
        <w:tc>
          <w:tcPr>
            <w:tcW w:w="450" w:type="pct"/>
            <w:shd w:val="clear" w:color="auto" w:fill="C0C0C0"/>
            <w:noWrap w:val="0"/>
            <w:tcMar>
              <w:top w:w="20" w:type="dxa"/>
              <w:bottom w:w="20" w:type="dxa"/>
            </w:tcMar>
            <w:vAlign w:val="center"/>
          </w:tcPr>
          <w:p>
            <w:pPr>
              <w:jc w:val="right"/>
              <w:rPr>
                <w:b/>
              </w:rPr>
            </w:pPr>
            <w:r>
              <w:rPr>
                <w:b/>
              </w:rPr>
              <w:t>163 714 877,62</w:t>
            </w:r>
          </w:p>
        </w:tc>
        <w:tc>
          <w:tcPr>
            <w:tcW w:w="450" w:type="pct"/>
            <w:shd w:val="clear" w:color="auto" w:fill="C0C0C0"/>
            <w:noWrap w:val="0"/>
            <w:tcMar>
              <w:top w:w="20" w:type="dxa"/>
              <w:bottom w:w="20" w:type="dxa"/>
            </w:tcMar>
            <w:vAlign w:val="center"/>
          </w:tcPr>
          <w:p>
            <w:pPr>
              <w:jc w:val="right"/>
              <w:rPr>
                <w:b/>
              </w:rPr>
            </w:pPr>
            <w:r>
              <w:rPr>
                <w:b/>
              </w:rPr>
              <w:t>6%</w:t>
            </w:r>
          </w:p>
        </w:tc>
      </w:tr>
    </w:tbl>
    <w:p>
      <w:pPr>
        <w:rPr>
          <w:b/>
        </w:rPr>
        <w:sectPr>
          <w:type w:val="nextPage"/>
          <w:pgSz w:w="15840" w:h="12240" w:orient="landscape"/>
          <w:pgMar w:top="900" w:right="900" w:bottom="900" w:left="900" w:header="720" w:footer="720"/>
          <w:cols w:space="720"/>
        </w:sectPr>
      </w:pPr>
    </w:p>
    <w:p>
      <w:pPr>
        <w:pStyle w:val="Heading1"/>
      </w:pPr>
      <w:bookmarkStart w:id="230" w:name="_Toc256000115"/>
      <w:bookmarkStart w:id="231" w:name="_Toc256000378"/>
      <w:r>
        <w:t>Описание на избраните мерки</w:t>
      </w:r>
      <w:bookmarkEnd w:id="231"/>
      <w:bookmarkEnd w:id="230"/>
    </w:p>
    <w:p>
      <w:pPr>
        <w:pStyle w:val="Heading2"/>
      </w:pPr>
      <w:bookmarkStart w:id="232" w:name="_Toc256000116"/>
      <w:bookmarkStart w:id="233" w:name="_Toc256000379"/>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233"/>
      <w:bookmarkEnd w:id="23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Механизмът на гаранционната схема по ПРСР 2007 – 2013 ще бъде прилаган за проекти по под мерки 4.1 и 4.2, включително в рамките на Тематичната подпрограма. Финансовият ресурс за издаване на гаранции  по под мерки 4.1 и 4.2 ще бъде осигурен от освободени гаранции по проекти по мерки 121 и 123. Гаранционната схема ще позволи по пълно постигане на целите на ПРСР и ще облекчи достъпа до кредитен ресурс. Предоставяните гаранции ще се използват за допълване на обезпечението при предоставянето на инвестиционни кредити.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 финансов инструмент ще бъде разработен за нуждите на Програмата включително за кандидати в рамките на Тематичната подпрограма,, като за целта през 2015 г. ще се извърши предварителна оценка за потребностите от неговото създаване и обхват на прилагане. Планира се реалното стартиране на бъдещия финансов инструмент да се осъществи в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15. „Екологични услуги и услуги във връзка с климата в горското стопанство и опазване на горите“;</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18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мярка 15.1 „Плащания за горски екологични ангажименти“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2016-2020                                                                                                          5A, 5B, 5C, 5D</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2016-2020                                                                                                                    6C</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15.1. Плащания за задължения за опазване на околната среда в горите            2016-2020                                                                                                                      4(FO)</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М17 — Управление на риска                                                                                                2017-2020                                                                                                                     3B</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pStyle w:val="BodyText"/>
              <w:jc w:val="both"/>
            </w:pPr>
          </w:p>
        </w:tc>
      </w:tr>
    </w:tbl>
    <w:p>
      <w:pPr>
        <w:pStyle w:val="Heading2"/>
      </w:pPr>
      <w:bookmarkStart w:id="234" w:name="_Toc256000117"/>
      <w:bookmarkStart w:id="235" w:name="_Toc256000380"/>
      <w:r>
        <w:t>Описание по мярка</w:t>
      </w:r>
      <w:bookmarkEnd w:id="235"/>
      <w:bookmarkEnd w:id="234"/>
    </w:p>
    <w:p>
      <w:pPr>
        <w:pStyle w:val="Heading3"/>
        <w:jc w:val="left"/>
        <w:rPr>
          <w:b w:val="0"/>
        </w:rPr>
      </w:pPr>
      <w:bookmarkStart w:id="236" w:name="_Toc256000118"/>
      <w:bookmarkStart w:id="237" w:name="_Toc256000381"/>
      <w:r>
        <w:rPr>
          <w:b w:val="0"/>
        </w:rPr>
        <w:t>М01 — Трансфер на знания и действия за осведомяване (член 14)</w:t>
      </w:r>
      <w:bookmarkEnd w:id="237"/>
      <w:bookmarkEnd w:id="23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3"/>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Курсовете за обучение </w:t>
            </w:r>
            <w:r>
              <w:rPr>
                <w:rFonts w:ascii="Times New Roman" w:eastAsia="Times New Roman" w:hAnsi="Times New Roman" w:cs="Times New Roman"/>
                <w:szCs w:val="24"/>
              </w:rPr>
              <w:t>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 Учебната програма на курсовете се разработва от обучаваща организация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 В учебната програма на курсовете се предвижда задължително практическо обучение. 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 В учебните програми на курсовете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по част от професия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5"/>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демонстрационна дейност по подмярка 1.2.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 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2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2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на ваучерите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1.3. Краткосрочен обмен на опит и посещения в земеделски и горски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7"/>
              </w:numPr>
              <w:rPr>
                <w:b w:val="0"/>
              </w:rPr>
            </w:pPr>
            <w:r>
              <w:rPr>
                <w:b w:val="0"/>
              </w:rPr>
              <w:t>1.3 — подкрепата може да обхваща и краткосрочен обмен на опит в управлението на земеделски и горски стопанства, както и посещения на земеделски и горски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4А; 5А; 5Б; 5В;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Схемите за краткосрочен обмен на опит и посещения на земеделски и горски стопанства </w:t>
            </w:r>
            <w:r>
              <w:rPr>
                <w:rFonts w:ascii="Times New Roman" w:eastAsia="Times New Roman" w:hAnsi="Times New Roman" w:cs="Times New Roman"/>
                <w:szCs w:val="24"/>
              </w:rPr>
              <w:t>са дейности по организиране на групи от земеделски стопани или собственици на гори и провеждане на посещения на земеделски или горски стопанства с цел запознаване с конкретен проблем или начин на изпълнение на дадена работа или организация на работата и обмяна на опит между участниците.  Ще се дава приоритет  на посещения на стопанства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Посещенията на стопанства трябва да са насочени към методите и/или технологиите за устойчиво селско и горско стопанство, диверсификацията на стопанствата, участието на стопанствата в къси вериги на доставки, разработването на нови възможности за стопанска дейност и на нови технологии, както и повишаването на устойчивостта на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дейностите може да се извършва по следните начини: В стопанство, избрано за нуждите на обмяната на опит се извършва демонстриране на практиките и обектите, които са предмет на обмяната на опит, от представител на обучаващата организация или представянето се извършва от собственика или управителя на стопанството.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При възстановяването на разходите за организиране и провеждане на обучението се прилага система на ваучери. Ваучерите ще бъдат за посещение на стопанство по подмярка 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посещения на земеделски и горски стопанства. Организациите трябва да извършват научно-изследователска дейност или да извършват образователна или обучителна дейност в областта на селското стопанство или горското стопанство или биотехнологиите или хранителните технологии или да извършват дейности в неправителствения сектор в областта на селското или горското стопанство или околната среда или водите.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257 евро за един обучаем.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околната среда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неправителствена или браншова организация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подобни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посещенията на стопанства и обмяна на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дейност посещение на стопанства се оценява учебната програма на всяка дейност и оценката се оформя като средна от получените оценки.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Административният контрол ще включва проверки за съответствие на заявените с  допустимите стандартни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ваучери. Определянето на стойността  за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1.3. са изчислени по методика, при която е  допуснато, че ще има само един вид посещение на стопанство/стопанства  -еднодневно посещение със събиране на участниците в посещението през предходния ден и е определен стандартен разход за един участник  в посещение. В методиката са приложени следните конкретни стъпки за изчисляване на разходите: определяне на среден брой участници в посещение, среден брой на членовете на екипа за организиране на посещение и средни км за транспортни услуги (организиран превоз) до стопанството за посещение; описание на дейностите по посещението, вкл. подготвителните дейности, дейностите по провеждане на посещението и дейностите по приключване и отчитане на посещението, както и на включените разходи по дейности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е регистрирана по Закона за юридическите лица с нестопанска цел с предмет на дейност в областите, посочени в подмярката.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Заплащането на разходите за участниците ще става посредством стандартна таблица за единица продукт по подмярка 1.1 и чрез система за прилагане на ваучери по подмерки 1.2 и 1.3.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подмерки 1.2 и 1.3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подмерки 1.2 и 1.3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системата на ваучери при подмерки 1.2 и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системата на ваучери ще се изпълняват следните условия:</w:t>
            </w:r>
          </w:p>
          <w:p>
            <w:pPr>
              <w:numPr>
                <w:ilvl w:val="0"/>
                <w:numId w:val="1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Периодът на валидност на ваучерите е една година.</w:t>
            </w:r>
          </w:p>
          <w:p>
            <w:pPr>
              <w:numPr>
                <w:ilvl w:val="0"/>
                <w:numId w:val="1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Ваучерите са за демонстрационни дейности; за посещение на земеделско или горско стопанство. Ваучерите се предоставят на земеделски стопани и заети лица в техните стопанства, на горски стопани и заети лица в техните стопанства. Ваучерите се предоставят на земеделските и горските стопани или на заетите в техните стопанства в период до 3 месеца след публикуване на одобрените проекти по дадена обява. Подготовката и издаването на ваучерите се извършва от МЗХГ, като средствата се осигуряват по техническата помощ на програмата. Проверката за допустимост на обучаемите земеделските и горски стопани и предоставянето на ваучери се извършва от Областните дирекции „Земеделие“ и общинските служби земеделие към МЗХГ.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Специфичните условия за възстановяването на разходите  са следните: На базата на планиран брой лица по видове дейности и съответните стойности на ваучерите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като разходооправдателни документи получените ваучери от реалните  участници. Допустими са междинни плащания след приключване на всяка от одобрените дейности по проекта.</w:t>
            </w:r>
          </w:p>
          <w:p>
            <w:pPr>
              <w:pStyle w:val="BodyText"/>
              <w:jc w:val="both"/>
              <w:rPr>
                <w:b w:val="0"/>
              </w:rPr>
            </w:pPr>
          </w:p>
        </w:tc>
      </w:tr>
    </w:tbl>
    <w:p>
      <w:pPr>
        <w:pStyle w:val="Heading3"/>
        <w:jc w:val="left"/>
        <w:rPr>
          <w:b w:val="0"/>
        </w:rPr>
      </w:pPr>
      <w:r>
        <w:rPr>
          <w:b w:val="0"/>
        </w:rPr>
        <w:br w:type="page"/>
      </w:r>
      <w:bookmarkStart w:id="238" w:name="_Toc256000119"/>
      <w:bookmarkStart w:id="239" w:name="_Toc256000382"/>
      <w:r>
        <w:rPr>
          <w:b w:val="0"/>
        </w:rPr>
        <w:t>М02 —  Консултантски услуги, услуги по управление на стопанство и услуги по заместване в стопанство (член 15)</w:t>
      </w:r>
      <w:bookmarkEnd w:id="239"/>
      <w:bookmarkEnd w:id="23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29"/>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при прилагане на процедурата на вътрешно изключване от НССЗ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първоначалното предоставяне на пакет А2Б на кандидатите по подмярка 6.1. от НССЗ за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3"/>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допустимите разходи ще се определя от Управляващият орган на ПРСР за всяка една година на подпомагане на база на изпратени предварителни разчети от страна на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5"/>
        <w:jc w:val="left"/>
        <w:rPr>
          <w:b w:val="0"/>
        </w:rPr>
      </w:pPr>
      <w:r>
        <w:rPr>
          <w:b w:val="0"/>
        </w:rPr>
        <w:br w:type="page"/>
      </w:r>
      <w:r>
        <w:rPr>
          <w:b w:val="0"/>
        </w:rPr>
        <w:t>Подмярка 2.3 Подпомагане за обучение на консултанти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4"/>
              </w:numPr>
              <w:rPr>
                <w:b w:val="0"/>
              </w:rPr>
            </w:pPr>
            <w:r>
              <w:rPr>
                <w:b w:val="0"/>
              </w:rPr>
              <w:t>2.3 — подкрепа за обучение на консултанти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Подмярката допринася към следните приоритетни области: </w:t>
            </w:r>
            <w:r>
              <w:rPr>
                <w:rFonts w:ascii="Times New Roman" w:eastAsia="Times New Roman" w:hAnsi="Times New Roman" w:cs="Times New Roman"/>
                <w:b/>
                <w:bCs/>
                <w:szCs w:val="24"/>
              </w:rPr>
              <w:t>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предоставя помощ за обучение на консултанти. Обучението на консултантите се определя като дейности за обучение за консултанти, ангажирани от организациите, доставчици на консултантски услуги. Обучението на консултантите  включва два вида обучителни дейности – семинари или курсове. Семинарите могат да бъда с продължителност от 1 до 3 дни. Курсовете могат да бъдат с продължителност от една до четири седмици. Темите за семинарите и курсовете за обучението на консултантите трябва да обхващат действащо или ново европейско и национално законодателство, новости, практики, научни резултати и други в приоритетните области по приоритет 4 и приоритет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бенефициентите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предоставя помощ за обучение на физически лица, които са наети към юридически лица или еднолични търговци, идентифицирани като  консултантски организации. Обучението се извършва от доставчици на обучение, които се определят като обучаващи организации по подмярката.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одобрение за получаване на подкрепа за обучение на консултантите в състава на организацията, консултантските организации трябва да представят план за обучение по приоритетните области на приоритет 4 и приоритет 5, брой консултанти, които са включени в плана по приоритети и бюджет за обучение. В рамките на одобрения бюджет консултантските организации могат да сключват договори за обучение на консултантите с обучаващи организации, които са избрани чрез тръжна процедура и са включени в Регистъра на обучаващите организации по подмярка 2.3. По процедурата за получаване на подпомагане за обучение за консултанти могат да участват консултантски организации, които отговарят на критериите,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както и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доставчиците на обучение за консултанти, които се определят като обучаващи организации по подмярка 2.3. За осъществяване на качествено обучение на консултантите, обучаващите организации могат да привличат и външни експерти с доказан професионален опит в областите на приложение на приоритет 4 и приоритет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избират след провеждане на процедура по правилата за обществените поръчки.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обучение на консултанти. Разходите могат да включват</w:t>
            </w:r>
            <w:r>
              <w:rPr>
                <w:rFonts w:ascii="Times New Roman" w:eastAsia="Times New Roman" w:hAnsi="Times New Roman" w:cs="Times New Roman"/>
                <w:b/>
                <w:bCs/>
                <w:szCs w:val="24"/>
              </w:rPr>
              <w:t>:</w:t>
            </w:r>
          </w:p>
          <w:p>
            <w:pPr>
              <w:numPr>
                <w:ilvl w:val="0"/>
                <w:numId w:val="1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направени при организиране и доставяне на обучението на консултантите, включително заплати на служители на обучаващата организация, разходи за лектори, разходи за пътувания, материали, изготвени за обучението;</w:t>
            </w:r>
          </w:p>
          <w:p>
            <w:pPr>
              <w:numPr>
                <w:ilvl w:val="0"/>
                <w:numId w:val="1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мястото, където се доставя обучението, включително разходи за наем на зали и наем за демонстрационни обекти или обекти за практическо обучение.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Обучаващите организации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„Науки за земята“, „Биологически науки“, „Икономика“, „Енергетика“, „Биотехнологии“, „Хранителни технологии“, „Общо инженерство“;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851 „Технологии за опазване на околната среда“;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които извършват научни изследвания и научно обслужване в областта на селското стопанство или горското стопанство, или опазване на околната среда, или хранителните технологии, или биотехнологиите и да са организации по Закона за Селскостопанската академия, Закона за Българската академия на науките, Закона за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на обучаващите организации се базират на следните принципи и характеристики:</w:t>
            </w:r>
          </w:p>
          <w:p>
            <w:pPr>
              <w:numPr>
                <w:ilvl w:val="0"/>
                <w:numId w:val="1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опита на организацията в изпълнение на подобни дейности на дейностите, за които се кандидатства;</w:t>
            </w:r>
          </w:p>
          <w:p>
            <w:pPr>
              <w:numPr>
                <w:ilvl w:val="0"/>
                <w:numId w:val="1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квалификацията и опита на преподавателския персонал, който ще бъде пряко ангажиран в осъществяване на конкретните обучителни дейности;</w:t>
            </w:r>
          </w:p>
          <w:p>
            <w:pPr>
              <w:numPr>
                <w:ilvl w:val="0"/>
                <w:numId w:val="1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условията за провеждане на обучителните дейности.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обучение на консултанти е ограничена до 200 000 евро на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3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3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3.2. Предвидени са проверки по време на изпълнение на дейностите, като в нормативната уредба </w:t>
            </w:r>
            <w:r>
              <w:rPr>
                <w:rFonts w:ascii="Times New Roman" w:eastAsia="Times New Roman" w:hAnsi="Times New Roman" w:cs="Times New Roman"/>
                <w:szCs w:val="24"/>
                <w:u w:val="single"/>
              </w:rPr>
              <w:t>или в насоките, или друг документ</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40" w:name="_Toc256000120"/>
      <w:bookmarkStart w:id="241" w:name="_Toc256000383"/>
      <w:r>
        <w:rPr>
          <w:b w:val="0"/>
        </w:rPr>
        <w:t>M04 — Инвестиции в материални активи (член 17)</w:t>
      </w:r>
      <w:bookmarkEnd w:id="241"/>
      <w:bookmarkEnd w:id="24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38"/>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свързани с нетно увеличение на напояваната площ трябва да са изпълнени следните условия</w:t>
            </w:r>
            <w:r>
              <w:rPr>
                <w:rFonts w:ascii="Times New Roman" w:eastAsia="Times New Roman" w:hAnsi="Times New Roman" w:cs="Times New Roman"/>
                <w:szCs w:val="24"/>
                <w:u w:val="single"/>
              </w:rPr>
              <w:t xml:space="preserve">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Инвестициите в нови инсталации  за напояван</w:t>
            </w:r>
            <w:r>
              <w:rPr>
                <w:rFonts w:ascii="Times New Roman" w:eastAsia="Times New Roman" w:hAnsi="Times New Roman" w:cs="Times New Roman"/>
                <w:szCs w:val="24"/>
                <w:u w:val="single"/>
              </w:rPr>
              <w:t>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 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4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3"/>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w:t>
            </w:r>
            <w:r>
              <w:rPr>
                <w:rFonts w:ascii="Times New Roman" w:eastAsia="Times New Roman" w:hAnsi="Times New Roman" w:cs="Times New Roman"/>
                <w:szCs w:val="24"/>
                <w:u w:val="single"/>
              </w:rPr>
              <w:t>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46"/>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5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5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4"/>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szCs w:val="24"/>
              </w:rPr>
              <w:t>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59"/>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6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62"/>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6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6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6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6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168"/>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65"/>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65"/>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6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4.4 „Непроизводствени инвестиции“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68"/>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непроизводствени дейности предоставят възможност за насърчаване в значителна степен правилното използване на ландшафта по екологосъобразен начин. Необходимо е въвеждане на природосъобразни практики за опазване на биологичното разнообразие в земите с висока природна стойност и зоните от Натура 2000 и съхраняване на ценните местообитания и видове. За спазване на някои от забраните в местата от Натура 2000 са необходими и специфични инвестиции, свързани с опазването на биоразнообразието в тях. Също така е необходимо да се ограничат деградационните процеси на почвата чрез прилагане на екологосъобразни методи, предотвратяващи деградация на почвата и иновации в прилагане на техниките и технологии за екологосъобразни практики. Подкрепата за непроизводствени дейности, свързани с ползването на земите и опазването и в добро земеделско и екологично състояние ще предотвратят изоставянето на земеделските земи и ще се намали почвената ерозия. Чрез непроизводствени инвестиции по подмярката ще се запази ландшафта и богатсвото на флората и фауната в районите с висока природна стойност и Натура 2000, подобряване на състоянието на околната среда. Подкрепата по подмярката е насочена към инвестиции в непроизводствени дейности свързани с постигане на агроекологичните и климатични цели на територията на цялата страна, включително ангажиментите за запазване на биологичното разнообразие на местообитанията и видовете, както и за увеличаване на привлекателността на районите от Натура 2000 или райони с висока природна стойност.</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непроизводствени инвестиции, които не водят до значително увеличаване на стойността, рентабилността и производствения капацитет на земеделското стопанство. Предвидената подкрепа е насочена към дейности свързани със създаването и възстановяване на равнинни и полупланински характеристики на ландшафта от дървесни видове от  местен произход, възстановяване и създаване на влажни зони, възстановяване на пасища и ливади, управление на местообитания, включително в обхвата на Натура 2000 и такива свързани с контрол на почвената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Непроизводствени инвестиции за придобиване на активи: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подобрителни мероприятия в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Непроизводствени инвестиции в стопанствата обвързани с обработваемата площ и пряко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Възстановяване и поддържане на затревени площи с висока природна стойност: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възстановяване на групи дървета и дървесни ивици с определена площ, разположени в равнинни обработваеми земи и /или и полупланински пасища и ливади, възстановяване на полска граница /синори и живи плетове/ с определена площ. Възстановяване на влаголюбива растителност, укрепване на бреговете при наклон, разчистване от нежелана растителност;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-Разчистване на нежелана растителност, презасяване със смески с местен произход, подобрителни мероприятия в пасищата - почистване на пасищата от камъни, храсти и вредна растителност;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Поддържане на местообитанията на защитени видове в обработваеми: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малки елементи за облагородяване на местата - построяване на къщички за птици, изграждане на беседки, екопътеки, поставяне на обозначителни информационни табели и др., включително изграждане на малки водоеми;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Контрол на почвената ерозия: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затревени буферни ивици и изграждане на наорни тераси.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Традиционни практики за сезонна паша: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навеси и заслони за стадата и хората на отдалечени места, изграждане на места за водопой.</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Минималния стандартен производствен обем на стопанството на кандидата следва да бъде не по - малко от 8 000 евро;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3. 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4. Кандидатите следва да представят бизнес план, доказващ положителен финансов резултат от дейността на земеделското стопанство и принос към опазване на компонентите на околната среда  на планираните инвестиции и дейности включени в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   Инвестициите следва да са свързани с основата земеделска дейност на членовете на организацията, която е основна и за организацията;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3.   Кандидатите следва да представят бизнес план, доказващ положителен финансов резултат от земеделската дейност на земеделските стопанства на членовете и основна за организацията и принос към опазване на компонентите на околната среда чрез прилагане на планираните инвестиции и дейности включени в проекта;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4.   Проектът трябва да показва, че инвестициите са от полза на цялата организация на производители и допринасят за опазване на компонентите на околната среда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Представените от кандидатите за подпомагане дейности трябва да допринасят положително за опазване на компонентите на околната среда.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Закупуване на посадъчен материал и тревни смески, механизирани и ръчни услуги свързани с постигане изпълнението на подпомаганите дейности, включително възстановяване на влаголюбива растителност, укрепване на бреговете при наклон, разчистване от нежелана растителност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Изграждане, придобиване и подобряване на недвижимо имущество, </w:t>
            </w:r>
            <w:r>
              <w:rPr>
                <w:rFonts w:ascii="Times New Roman" w:eastAsia="Times New Roman" w:hAnsi="Times New Roman" w:cs="Times New Roman"/>
                <w:i/>
                <w:iCs/>
                <w:szCs w:val="24"/>
              </w:rPr>
              <w:t>като например: изграждане на навеси и заслони за стадата и хората на отдалечени места, изграждане на места за водопой, поставяне обозначителни табели и изграждане на къщички за птици, кацалки, платформи за гнезда, обособяване на пътеки, подържане и изграждане на малки водоеми в затревени площи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подържане и изграждане на малки водоеми трябва да отговарят на изискванията на Рамковата директива за водите (2000/60/ЕО) и Плановете за управление на речните басейни съгласувано от съответната структура на МОСВ/Басейнова дирекция/.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дейности, за които не е представена оценка на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помощ приоритет ще бъде осигурен за подпомагане на проекти представени от биологични производители. Приоритет ще бъде предоставен за кандидати, в чиито стопанства са налице доброволно поети ангажименти за изпълнение на агроекологични дейности. Приоритет ще бъде предоставян за проекти допринасящи за насърчаване на кооперирането между производителите и такива, които се изпълняват в места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подмярката ще бъде постигано с целеви приеми и критерии за оценка, чиято тежест ще бъде определена в националното законодателство.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инвестиции в непроизводствени инвестиции е в размер на 100%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едно проектно предложение е в рамките 3 500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Максималните нива на допустимите разходи ще бъдат ограничени на база вида на инвестиционната подкрепа.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промяна на условията, за които кандидатът е получил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1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в нормативната уредба</w:t>
            </w:r>
            <w:r>
              <w:rPr>
                <w:rFonts w:ascii="Times New Roman" w:eastAsia="Times New Roman" w:hAnsi="Times New Roman" w:cs="Times New Roman"/>
                <w:szCs w:val="24"/>
                <w:u w:val="single"/>
              </w:rPr>
              <w:t>,</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В нормативната уредба</w:t>
            </w:r>
            <w:r>
              <w:rPr>
                <w:rFonts w:ascii="Times New Roman" w:eastAsia="Times New Roman" w:hAnsi="Times New Roman" w:cs="Times New Roman"/>
                <w:szCs w:val="24"/>
                <w:u w:val="single"/>
              </w:rPr>
              <w:t>, или в насоките, 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Контролните процедури ще включват проверки за спазването на условията, за които бенефициента е получил приоритет.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спомогне за въвеждане на природосъобразни практики за опазване на биологичното разнообразие и правилно използване на ландшафта. 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4.4.2 Непроизводствени инвестиции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70"/>
              </w:numPr>
              <w:rPr>
                <w:b w:val="0"/>
              </w:rPr>
            </w:pPr>
            <w:r>
              <w:rPr>
                <w:b w:val="0"/>
              </w:rPr>
              <w:t>4.4 — подкрепа за инвестиции в непроизводствени дейности, свързани с постигане на агроекологичните цели и целите в областта на климата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имат значителен принос по отношение опазване на природните ресурси, ландшафта и биоразнообразието в България. Опазването, възстановяването и подходящото им управление е главната цел на устойчивото развитие на селските райони. Чрез непроизводствени инвестиции по тази операция ще се запази ландшафта и богатството на флората и фауната в районите с висока природна стойност и Нтура 2000, подобряване състоянието на околната среда. Подкрепата по операцията е насочена към инвестиции в непроизводствени дейности, свързани с постигане на агроекологичните и климатични цели, включително ангажиментите за запазване на биологичната разнообразие на местообитанията и видовете, както и за увеличаване на привлекателността на районите от Натура 2000 или районите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капиталови дейности в рамките на ангажиментите по агроекологията и климата и Натура 2000, например възстановяване на местообитания и ландшафти, включително създаване или повторно обезпечаване на необходимата инфраструктура, за да се осъществява подходящо управление на местообитанията;</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и други работи за улесняване управлението по опазването, включително системи за защита на водите и почвата;</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влажни зони;</w:t>
            </w:r>
          </w:p>
          <w:p>
            <w:pPr>
              <w:numPr>
                <w:ilvl w:val="0"/>
                <w:numId w:val="1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елементите и функциите на ландшафта.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19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разходи по тази подмярка са: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на навеси (кошари) и заслони за стадата и хората на отдалечени места в планината с цел стимулиране пашуването в отдалечени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на места за водопой на добитъка;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Поставяне на обозначителни табели;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на къщички за птици, кацалки, платформи за гнезда;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Обособяване на пътеки за пешеходни и колоездачни маршрути;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Поддържане на естествените малки водоеми, които се намират на територията на затревени площи;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на малки водоеми (до 500 кв. м) с постоянно водно огледало. Водоемите се изграждат от естествени материали, без бетон, желязо и др.; без зарибяване и без екзотични растения; не се допуска достъп на животни в тях;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Засаждане на единични и/или групи дървета, от местни видове и поддържането  им за период от 5 години;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Други добре обосновани от кандидатите дейности, които биха допринесли за опазване на биологичното разнообразие в стопанисваните от него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25 000 евро, а за проекти представляващи колективни инвестиции 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Липсата на разбиране на изискванията и информираност от страна на бенефициентите,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Въвеждане на адекватно разграничаване на отделните операции и бенефициенти, допустими по мерките от ПРСР и по отношение на І стълб от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Предимство ще се дава на земеделски стопани, бенефициенти по мерките Агроекология и климат, Натура 2000 и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7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7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7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7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7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242" w:name="_Toc256000121"/>
      <w:bookmarkStart w:id="243" w:name="_Toc256000384"/>
      <w:r>
        <w:rPr>
          <w:b w:val="0"/>
        </w:rPr>
        <w:t>M06 — Развитие на стопанства и предприятия (член 19)</w:t>
      </w:r>
      <w:bookmarkEnd w:id="243"/>
      <w:bookmarkEnd w:id="24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18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81"/>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1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1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1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1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1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1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1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1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1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1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1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18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1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1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1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1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1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1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1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1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18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1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1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1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1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6.2 - Стартова помощ за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2"/>
              </w:numPr>
              <w:rPr>
                <w:b w:val="0"/>
              </w:rPr>
            </w:pPr>
            <w:r>
              <w:rPr>
                <w:b w:val="0"/>
              </w:rPr>
              <w:t>6.2 — помощ при стартиране за неселскостопански дейности в селските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стартиране на нови неземеделски дейности е насочена към развитието на предприемачеството и насърчаване на разнообразяването на икономиката в селските райони чрез увеличаване на броя на микропредприятията в неземеделския сектор, разкриване на нови и запазване на съществуващи работни места, разширяване и подобряване на услугите за населението, интегриране на туристическия сектор в селските райони, насърчаване на съхранението и развитието на традиционни дейности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приоритетна област 6А.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стартиране на нови неземеделски дейности в селските райони. Дейностите трябва да са нови за предприятието или лицето, което получава подпомагането. Неземеделските дейности могат да включват:</w:t>
            </w:r>
          </w:p>
          <w:p>
            <w:pPr>
              <w:numPr>
                <w:ilvl w:val="0"/>
                <w:numId w:val="1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туризъм (изграждане и обновяване на туристически обекти и развитие на туристически услуги);</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енергия от възобновяеми енергийни източници за собствено потребление;</w:t>
            </w:r>
          </w:p>
          <w:p>
            <w:pPr>
              <w:numPr>
                <w:ilvl w:val="0"/>
                <w:numId w:val="1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 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нивото на подкрепа са взети предвид социално-икономическите условия в страната, в това число нивото на минималната работна заплата, липсата на възможности за професионално развитие на хората с по-високо образование в селските райони и миграция на квалифицирана работна ръка, поради неконкурентно заплащане на труда, необходимостта от симулиране на предприемачеството, както и ограничения достъп до кредит и външно финансиране на предприятията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средствата, необходими за осигуряване старт на нова дейност за предприятието.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Делегирани актове на основание чл. 19, параграф 8 и чл. 45, параграф 6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и стартиращи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Подмярката няма да подпомага стартиращи предприятия на безработни, които се подпомагат чрез финансови инструменти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Начална помощ за нови неземеделски дейности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1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Подпомаганата дейност да се извършва в селски район;</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които се кандидатства не са извършвани от предприятието до момента на подаване на заявлението за подпомагане;</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разработен бизнес план за новата дейност, който да показва икономическа жизнеспособност;</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не оказва отрицателно влияние върху околната среда;</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 от общо произведената енергия;</w:t>
            </w:r>
          </w:p>
          <w:p>
            <w:pPr>
              <w:numPr>
                <w:ilvl w:val="0"/>
                <w:numId w:val="1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 земеделски стопани, които не са микропредприятия  трябва да има стандартен производствен обем над 8 000 евро;</w:t>
            </w:r>
          </w:p>
          <w:p>
            <w:pPr>
              <w:numPr>
                <w:ilvl w:val="0"/>
                <w:numId w:val="1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бизнес плана трябва да започне в срок до 9 месеца от решението за отпускане на помощта;</w:t>
            </w:r>
          </w:p>
          <w:p>
            <w:pPr>
              <w:numPr>
                <w:ilvl w:val="0"/>
                <w:numId w:val="19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за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одобрението на заявленията ще се следват следните принципи за определяне на критериите за подбор:</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развитие на занаяти, социални и здравни услуги;</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 Северен централен район);</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регистрирани като тютюнопроизводители;</w:t>
            </w:r>
          </w:p>
          <w:p>
            <w:pPr>
              <w:numPr>
                <w:ilvl w:val="0"/>
                <w:numId w:val="19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заетост.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критерий,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Безвъзмездната финансова помощ се предоставя под формата на фиксирано плащане, което не надвишава 25 000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извършва чрез две плащания, представляващи първо плащане в размер на 15 000 евро – до 3 месеца от сключване на договор и второ плащане при коректно изпълнение на бизнес плана, но не по-късно от петата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Второто плащане, в размер на 10 000 евро, се извършва, ако кандидатът коректно е изпълнил бизнес плана и е създадено най-малко едно работно място (включително самонаемане).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по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неизпълнение на заложените цели и дейности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подмяркатаот ПРСР са разграничени с тези по другите мерки/подмерки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критерий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със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както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Административният контрол ще обхваща всички одобрени бизнес планове, с цел установяване нивото на изпълнение. Второто плащане ще се извършва, след проверка на изпълнението на всички инвестиции, основни дейности и постигане на целите, предвидени в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Предвижда се въвеждането на до две междинни посещения на място преди второто плащане на база анализ на риска.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numPr>
                <w:ilvl w:val="0"/>
                <w:numId w:val="1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Първоначално икономическо състояние на кандидата;</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Анализ на пазара, въздействие върху конкурентите;</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Етапи и цели за развитие на новите дейности на кандидата;</w:t>
            </w:r>
          </w:p>
          <w:p>
            <w:pPr>
              <w:numPr>
                <w:ilvl w:val="0"/>
                <w:numId w:val="1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Прогноза на нетните парични потоци;</w:t>
            </w:r>
          </w:p>
          <w:p>
            <w:pPr>
              <w:numPr>
                <w:ilvl w:val="0"/>
                <w:numId w:val="1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дейностите и инвестициите, необходими за развитие на дейностите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комбинирано кандидатстване по подмярка 6.1, 6.4 и мярка 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198"/>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1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1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1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1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земеделското стопанство е разположено в планински район съгласно наредбата за определяне на критериите за необлагодетелстваните райони и териториалния им обхват (приета с ПМС №30 ОТ 15.02.2008 г.; ДВ, бр. 20 от 2008 г.);</w:t>
            </w:r>
          </w:p>
          <w:p>
            <w:pPr>
              <w:numPr>
                <w:ilvl w:val="0"/>
                <w:numId w:val="2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0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0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06"/>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 е 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13"/>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85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1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1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1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2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44" w:name="_Toc256000122"/>
      <w:bookmarkStart w:id="245" w:name="_Toc256000385"/>
      <w:r>
        <w:rPr>
          <w:b w:val="0"/>
        </w:rPr>
        <w:t>М07 — Основни услуги и обновяване на селата в селските райони (член 20)</w:t>
      </w:r>
      <w:bookmarkEnd w:id="245"/>
      <w:bookmarkEnd w:id="24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22"/>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 от седем години от датата на кандидатстване.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републикански пътища;</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3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36"/>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3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Насоките на ЕК за Анализ на разходите и ползите от инвестиционните проекти за кохезионната политика за 2014-2020 и Регламент за изпълнение (ЕС) 2015/207 на Комисията от 20 януари 2015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7.5. Инвестиции за публично ползване в инфраструктура за отдих, туристическа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40"/>
              </w:numPr>
              <w:rPr>
                <w:b w:val="0"/>
              </w:rPr>
            </w:pPr>
            <w:r>
              <w:rPr>
                <w:b w:val="0"/>
              </w:rPr>
              <w:t>7.5 — подкрепа за публично ползване в инфраструктура за отдих, туристическа информация и малка по мащаб туристическа инфраструктура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Туризмът е сред приоритетите на регионалната политика в България. На него се разчита за осезателен принос към постигане на балансирано и устойчиво развитие на българските общини и райони. Развитието на туризма в селски райони, особено в по-отдалечените периферни, крайгранични и планински общини, в които има уникални туристически ресурси следва да се обвърже с националните и европейски културни и туристически маршрути и с развитите туристически зони, за да получат шанс за адекватно експониране и популяризиране на ценностите в малките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закупуване на оборудване и/или обзавеждане на туристически информационни центрове;</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закупуване на оборудване и/или обзавеждане на посетителските центрове за представяне и експониране на местното природно и културно наследство;</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закупуване на оборудване и/или обзавеждане на центровете за изкуство и занаяти с туристическа цел;</w:t>
            </w:r>
          </w:p>
          <w:p>
            <w:pPr>
              <w:numPr>
                <w:ilvl w:val="0"/>
                <w:numId w:val="2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и закупуване на съоръжения за туристически атракции, които са свързани с местното природно, културно и/или историческо наследство и предоставящи услуги с познавателна или образователна цел;</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и закупуване на съоръжения за туристическа инфраструктура (информационни табели и пътепоказатели за туристическите места и маршрути, съоръжения за безопасност, велоалеи и туристически пътеки).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Насоки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w:t>
            </w:r>
          </w:p>
          <w:p>
            <w:pPr>
              <w:numPr>
                <w:ilvl w:val="0"/>
                <w:numId w:val="2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Следните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предвидените дейности да се изпълняват в съответствие с програмата за развитие на туризма на територията на общината;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дейността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не са обявени за недвижима културна ценност от национално и световно значение; да са придружени с анализ на икономическите и социалните ползи в който е доказано, че инвестицията ще доведат до социално–икономическо развитие на селският район; да съдържат аргументация за устойчивостта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свързани с опазването, популяризирането и развитието на културното наследство на обекти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дейности за изграждане, реконструкция, ремонт и закупуване на съоръжения за туристически атракции и на съоръжения за туристическа инфраструктура в рамките на териториите, подпомагани от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за един кандидат не може да надхвърля левовата равностойност на 200 000 евро за един обект и 1 000 000 за периода на прилагане на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в населените места, където ще се извършват допустимите дейности;</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на територията на Северозападен район;</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 при изпълнение на допустимите дейности;</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подобряване на околната среда и постигащи екологичен ефект и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общини и ЮЛНЦ,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47"/>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46" w:name="_Toc256000123"/>
      <w:bookmarkStart w:id="247" w:name="_Toc256000386"/>
      <w:r>
        <w:rPr>
          <w:b w:val="0"/>
        </w:rPr>
        <w:t>М08 — Инвестиции в развитие на горските райони и подобряване на жизнеспособността на горите (членове 21 — 26)</w:t>
      </w:r>
      <w:bookmarkEnd w:id="247"/>
      <w:bookmarkEnd w:id="24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54"/>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земеделски и неземеделски земи;</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земеделски и неземеделски земи;</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 частноправни субекти, стопанисващи земеделски и неземеделски земи, в т.ч. и Държавни предприятия по чл. 163 от Закона за горите, управляващи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5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5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57"/>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57"/>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 или правото си да я стопанисват.</w:t>
            </w:r>
          </w:p>
          <w:p>
            <w:pPr>
              <w:numPr>
                <w:ilvl w:val="0"/>
                <w:numId w:val="2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залесяване трябва да бъде както следва:</w:t>
            </w:r>
          </w:p>
          <w:p>
            <w:pPr>
              <w:numPr>
                <w:ilvl w:val="0"/>
                <w:numId w:val="2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и юридически лица и местни поделения на вероизповеданията, собственици на земеделски и неземеделски земи – 0.5 ха;</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собственици/стопанисващи земеделски и неземеделски земи – 1.0 ха;</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юридически лица - частноправни субекти, стопанисващи земеделски и неземеделски земи – 1.0 ха.</w:t>
            </w:r>
          </w:p>
          <w:p>
            <w:pPr>
              <w:numPr>
                <w:ilvl w:val="0"/>
                <w:numId w:val="2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493282"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66"/>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1"/>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5"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2442935"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4308321"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77"/>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8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8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8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8.5. Инвестиции, подобряващи устойчивостта и екологичната стойност на горските екосистеми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289"/>
              </w:numPr>
              <w:rPr>
                <w:b w:val="0"/>
              </w:rPr>
            </w:pPr>
            <w:r>
              <w:rPr>
                <w:b w:val="0"/>
              </w:rPr>
              <w:t>8.5 — подпомагане за инвестиции за подобряване на устойчивостта и екологичната стойност на горските екосистеми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настоящата подмярка включва смекчаване на последиците от и адаптиране към изменението на климата, предоставяне на услугите, предлагани от екосистемите и увеличаване привлекателността на гората или залесената площ за отдих и почивка.  Насочено е  към превръщането на издънковите гори в семенни и превръщане на иглолистните култури на нетипични месторастения в естествени насаждения.  Тези дейности ще допринесат до устойчивост, дълговечност и подобряване на всички екологични покзатели на гората, както и нейната привлекателност.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Изменението на климата и горското стопанство са неразривно свързани. От една страна, промените в глобалния климат вече стресират горите чрез по-високи средни годишни температури, променена структурата на валежите, и по-честите и екстремни метеорологични явления. В същото време, горите имат множество защитни функции. Те осигуряват защита срещу ерозията на почвата и опустиняването, помагат за регулиране на хидроложкия цикъл и техните екосистеми са важен източник на биологично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предпазят земеделските земи от ерозия и получаване на влагозадържащ ефект преди повече от 70 години са създадени полезащитните пояси в Северна България. Изградени са върху земеделски земи, но с течение на времето и тъй като са отговаряли на определението за гора, са били присъединени към държавния горски фонд и е започнало стопанисването им като гора. В този смисъл, възстановяването и поддържането на полезащитните пояси освен типичния за горите ефект ще имат осезаем ефект и върху съседните им земеделски земи, като ги защитават от ерозия, осигуряват по-добър воден баланс, а по този начин се постигат и по-високи и по-качествени добиви.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подпомаганена непроизводствени горски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увеличаване на привлекателността на гората и залесената площ за отдих и почивка в съответния район, в т.ч.:</w:t>
            </w:r>
          </w:p>
          <w:p>
            <w:pPr>
              <w:numPr>
                <w:ilvl w:val="0"/>
                <w:numId w:val="29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дребномащабна туристическа инфраструктура - пешеходни пътеки,  съоръжения за отдих, указателни табели, информационни табла, заслони и наблюдателни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подобряване на потенциала на екосистемите за смекчаване на последиците от изменението на климата, без да се изключват икономическите ползи в дългосрочен план, в т.ч.:</w:t>
            </w:r>
          </w:p>
          <w:p>
            <w:pPr>
              <w:numPr>
                <w:ilvl w:val="0"/>
                <w:numId w:val="2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издънкови гори в смесени високостъблени гори;</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изкуствени гори в смесени високостъблени гори за увеличаване на превръщане на иглолистните култури на нетипични месторастения в естествени насаждения;</w:t>
            </w:r>
          </w:p>
          <w:p>
            <w:pPr>
              <w:numPr>
                <w:ilvl w:val="0"/>
                <w:numId w:val="2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и поддръжка на полезащитни пояси;</w:t>
            </w:r>
          </w:p>
          <w:p>
            <w:pPr>
              <w:numPr>
                <w:ilvl w:val="0"/>
                <w:numId w:val="2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w:t>
            </w:r>
          </w:p>
          <w:p>
            <w:pPr>
              <w:numPr>
                <w:ilvl w:val="0"/>
                <w:numId w:val="29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29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въвеждане на добри производствени практики, системи за управление на качеството и подготовка за сертификация в предприятията;</w:t>
            </w:r>
          </w:p>
          <w:p>
            <w:pPr>
              <w:numPr>
                <w:ilvl w:val="0"/>
                <w:numId w:val="29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изработване на планове за управление на горите или на равностоен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2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горската територия или правото си да я стопанисват;</w:t>
            </w:r>
          </w:p>
          <w:p>
            <w:pPr>
              <w:numPr>
                <w:ilvl w:val="0"/>
                <w:numId w:val="2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на горската територия, с която кандидатстват за подпомагане, трябва да бъде както следва:</w:t>
            </w:r>
          </w:p>
          <w:p>
            <w:pPr>
              <w:numPr>
                <w:ilvl w:val="0"/>
                <w:numId w:val="3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0.5 ха за физически и юридически лица и местни поделения на вероизповеданията, собственици на горски територии;</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 ха за общини, собственици/стопанисващи горски територии;</w:t>
            </w:r>
          </w:p>
          <w:p>
            <w:pPr>
              <w:numPr>
                <w:ilvl w:val="0"/>
                <w:numId w:val="3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 ха за юридически лица, стопанисващи държавни горски територии;</w:t>
            </w:r>
          </w:p>
          <w:p>
            <w:pPr>
              <w:numPr>
                <w:ilvl w:val="0"/>
                <w:numId w:val="3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 ха за юридически лица, наематели на горски територии.</w:t>
            </w:r>
          </w:p>
          <w:p>
            <w:pPr>
              <w:numPr>
                <w:ilvl w:val="0"/>
                <w:numId w:val="3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дребномащабна туристическа инфраструктура</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допустимо само за еднократни за периода на действие на Програмата дейности в горите;</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3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разходи, разходи за поддръжка и годишни плащания не са допустими за подпомагане.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30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монокултури;</w:t>
            </w:r>
          </w:p>
          <w:p>
            <w:pPr>
              <w:numPr>
                <w:ilvl w:val="0"/>
                <w:numId w:val="30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 на полезащитните пояси, като приоритет ще се дава на тези в лошо и задоволително състояние.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2 500 000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2 000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05"/>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3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30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1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1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1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48" w:name="_Toc256000124"/>
      <w:bookmarkStart w:id="249" w:name="_Toc256000387"/>
      <w:r>
        <w:rPr>
          <w:b w:val="0"/>
        </w:rPr>
        <w:t>M09 — Създаване на групи и организации на производителите (член 27)</w:t>
      </w:r>
      <w:bookmarkEnd w:id="249"/>
      <w:bookmarkEnd w:id="24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1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2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2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50" w:name="_Toc256000125"/>
      <w:bookmarkStart w:id="251" w:name="_Toc256000388"/>
      <w:r>
        <w:rPr>
          <w:b w:val="0"/>
        </w:rPr>
        <w:t>M10 — Агроекология и климат (член 28)</w:t>
      </w:r>
      <w:bookmarkEnd w:id="251"/>
      <w:bookmarkEnd w:id="25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2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numPr>
                <w:ilvl w:val="0"/>
                <w:numId w:val="3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постояннозатревени площи с ВПС чрез паша -126,80 Евро/ха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 113,51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3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4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4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удължаване на срока с две допълнителни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една от следните дейности:</w:t>
            </w:r>
          </w:p>
          <w:p>
            <w:pPr>
              <w:numPr>
                <w:ilvl w:val="0"/>
                <w:numId w:val="3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земеделски земи в постоянно затревени площи, чрез използване на многогодишни тревни смески.</w:t>
            </w:r>
          </w:p>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мероприятия в лозя и трайни насаждения:</w:t>
            </w:r>
          </w:p>
          <w:p>
            <w:pPr>
              <w:numPr>
                <w:ilvl w:val="0"/>
                <w:numId w:val="350"/>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w:t>
            </w:r>
          </w:p>
          <w:p>
            <w:pPr>
              <w:numPr>
                <w:ilvl w:val="0"/>
                <w:numId w:val="350"/>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w:t>
            </w:r>
          </w:p>
          <w:p>
            <w:pPr>
              <w:numPr>
                <w:ilvl w:val="0"/>
                <w:numId w:val="3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numPr>
                <w:ilvl w:val="0"/>
                <w:numId w:val="352"/>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 ширината на ивиците е от  4 до 8м. Прокарват се  напречно на склона на разстояние 20-80 м в зависимост от наклона на терена, почвения тип и други фактори.  В зависимост от разстоянието между тях и ширината им те заемат от 10-30% от обработваемата площ;</w:t>
            </w:r>
          </w:p>
          <w:p>
            <w:pPr>
              <w:numPr>
                <w:ilvl w:val="0"/>
                <w:numId w:val="352"/>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културите - поясите, широки 30-100 м, с редуващи се окопни и слятопокровни култури, се  разполагат перпендикулярно (напречно) на склона (по контура).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предостави план за противоерозионни дейности, изготвен от дипломиран агроном.</w:t>
            </w:r>
          </w:p>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w:t>
            </w:r>
          </w:p>
          <w:p>
            <w:pPr>
              <w:numPr>
                <w:ilvl w:val="0"/>
                <w:numId w:val="3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 поясно редуване на културите – 38,2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5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w:t>
            </w:r>
          </w:p>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паркове.</w:t>
            </w:r>
          </w:p>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замърсяване на водите и терените с битови, промишлени и други отпадъци;  бивакуване и палене на огън извън определените места.( Чл. 21 от Закона за защитените територии, т.4, 6, 12, 13).</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6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7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80"/>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8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8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8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два пъти годишно.Затревяване на междуредовото пространство на трайни насаждения</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Тарифната ставка включва разходите за механизирани обработка по косене и почистване на междуредовите пространства, както и повишените трудови разходи. За създаване и поддържане на буферни ивици. Тук се отчита избягването на двойно финансиране на 5% ЕНП, задължителна по зелените плащания.</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по формулата: допълнителни разходи слята повърхност * 30% + допълнителни разходи окопни култури * 70%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52" w:name="_Toc256000126"/>
      <w:bookmarkStart w:id="253" w:name="_Toc256000389"/>
      <w:r>
        <w:rPr>
          <w:b w:val="0"/>
        </w:rPr>
        <w:t>М11 — Биологично земеделие (член 29)</w:t>
      </w:r>
      <w:bookmarkEnd w:id="253"/>
      <w:bookmarkEnd w:id="25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397"/>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4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петгодишния период на прилагане на дейността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4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numPr>
                <w:ilvl w:val="0"/>
                <w:numId w:val="4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4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0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1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1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14"/>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биоразнообразиетоПо тази подмярка ще се подпомагат на територията на цялата страна: биологични стопанства, съгласно дефинициите на Регламент (ЕО) № 834/2007,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numPr>
                <w:ilvl w:val="0"/>
                <w:numId w:val="4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numPr>
                <w:ilvl w:val="0"/>
                <w:numId w:val="4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2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3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3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3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3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w:t>
            </w:r>
            <w:r>
              <w:rPr>
                <w:rFonts w:ascii="Times New Roman" w:eastAsia="Times New Roman" w:hAnsi="Times New Roman" w:cs="Times New Roman"/>
                <w:b/>
                <w:bCs/>
                <w:i/>
                <w:iCs/>
                <w:szCs w:val="24"/>
              </w:rPr>
              <w:t xml:space="preserve"> и</w:t>
            </w:r>
            <w:r>
              <w:rPr>
                <w:rFonts w:ascii="Times New Roman" w:eastAsia="Times New Roman" w:hAnsi="Times New Roman" w:cs="Times New Roman"/>
                <w:b/>
                <w:bCs/>
                <w:i/>
                <w:iCs/>
                <w:szCs w:val="24"/>
              </w:rPr>
              <w:t xml:space="preserve"> допълняемост</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други</w:t>
            </w:r>
            <w:r>
              <w:rPr>
                <w:rFonts w:ascii="Times New Roman" w:eastAsia="Times New Roman" w:hAnsi="Times New Roman" w:cs="Times New Roman"/>
                <w:b/>
                <w:bCs/>
                <w:i/>
                <w:iCs/>
                <w:szCs w:val="24"/>
              </w:rPr>
              <w:t xml:space="preserve"> мерки</w:t>
            </w:r>
            <w:r>
              <w:rPr>
                <w:rFonts w:ascii="Times New Roman" w:eastAsia="Times New Roman" w:hAnsi="Times New Roman" w:cs="Times New Roman"/>
                <w:b/>
                <w:bCs/>
                <w:i/>
                <w:iCs/>
                <w:szCs w:val="24"/>
              </w:rPr>
              <w:t xml:space="preserve"> от</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с</w:t>
            </w:r>
            <w:r>
              <w:rPr>
                <w:rFonts w:ascii="Times New Roman" w:eastAsia="Times New Roman" w:hAnsi="Times New Roman" w:cs="Times New Roman"/>
                <w:b/>
                <w:bCs/>
                <w:i/>
                <w:iCs/>
                <w:szCs w:val="24"/>
              </w:rPr>
              <w:t xml:space="preserve"> плащания</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единица</w:t>
            </w:r>
            <w:r>
              <w:rPr>
                <w:rFonts w:ascii="Times New Roman" w:eastAsia="Times New Roman" w:hAnsi="Times New Roman" w:cs="Times New Roman"/>
                <w:b/>
                <w:bCs/>
                <w:i/>
                <w:iCs/>
                <w:szCs w:val="24"/>
              </w:rPr>
              <w:t xml:space="preserve"> площ</w:t>
            </w:r>
          </w:p>
          <w:p>
            <w:pPr>
              <w:numPr>
                <w:ilvl w:val="0"/>
                <w:numId w:val="4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w:t>
            </w:r>
          </w:p>
          <w:p>
            <w:pPr>
              <w:numPr>
                <w:ilvl w:val="0"/>
                <w:numId w:val="4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pStyle w:val="BodyText"/>
              <w:jc w:val="both"/>
              <w:rPr>
                <w:b w:val="0"/>
              </w:rPr>
            </w:pPr>
          </w:p>
        </w:tc>
      </w:tr>
    </w:tbl>
    <w:p>
      <w:pPr>
        <w:pStyle w:val="Heading3"/>
        <w:jc w:val="left"/>
        <w:rPr>
          <w:b w:val="0"/>
        </w:rPr>
      </w:pPr>
      <w:r>
        <w:rPr>
          <w:b w:val="0"/>
        </w:rPr>
        <w:br w:type="page"/>
      </w:r>
      <w:bookmarkStart w:id="254" w:name="_Toc256000127"/>
      <w:bookmarkStart w:id="255" w:name="_Toc256000390"/>
      <w:r>
        <w:rPr>
          <w:b w:val="0"/>
        </w:rPr>
        <w:t>M12 — Плащания по „Натура 2000“ и Рамковата директива за водите (член 30)</w:t>
      </w:r>
      <w:bookmarkEnd w:id="255"/>
      <w:bookmarkEnd w:id="25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40"/>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2"/>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3"/>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43"/>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4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4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9"/>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9"/>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5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6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3 вида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с лошо-почвени условия, наричани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някое от двете ограничения, наричани незасегнати от природни ограничения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таблица с компенсаторни плащания по зони и видове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w:t>
            </w:r>
            <w:r>
              <w:rPr>
                <w:rFonts w:ascii="Times New Roman" w:eastAsia="Times New Roman" w:hAnsi="Times New Roman" w:cs="Times New Roman"/>
                <w:b/>
                <w:bCs/>
                <w:i/>
                <w:iCs/>
                <w:szCs w:val="24"/>
              </w:rPr>
              <w:t>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56" w:name="_Toc256000128"/>
      <w:bookmarkStart w:id="257" w:name="_Toc256000391"/>
      <w:r>
        <w:rPr>
          <w:b w:val="0"/>
        </w:rPr>
        <w:t>М13 — Плащания за райони, изправени пред природни или други специфични ограничения (член 31)</w:t>
      </w:r>
      <w:bookmarkEnd w:id="257"/>
      <w:bookmarkEnd w:id="25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6"/>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07"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033987"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8.2.11.7.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57"/>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9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993091"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8.2.11.7.</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8.2.11.7.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numPr>
                <w:ilvl w:val="0"/>
                <w:numId w:val="4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 средна надморска височина минимум 700 м;</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 среден наклон на терена минимум 20%;</w:t>
            </w:r>
          </w:p>
          <w:p>
            <w:pPr>
              <w:numPr>
                <w:ilvl w:val="0"/>
                <w:numId w:val="4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със средна надморска височина между минимум 500 м в комбинация със среден наклон на терена минимум 15%;</w:t>
            </w:r>
          </w:p>
          <w:p>
            <w:pPr>
              <w:numPr>
                <w:ilvl w:val="0"/>
                <w:numId w:val="4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ще бъде представен в Приложение към ПРСР (2014-2020), след тяхното дефиниране.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Други важни забележки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 До края на 2018 г. държавите членки следва да извършат ново определяне на границите на базата на критериите, посочени в член 32, параграф 3 на цитирания регламент.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предстоящото приключване на предефинирането на районите с природни ограничения, различни от планинските, България е предвидила в националното си законодателство разпоредба, която урежда преходна помощ за кандидатите по подмярка 13.2. Компенсационното плащане на хектар, предвидено за кандидатите през кампания 2019 г., е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58" w:name="_Toc256000129"/>
      <w:bookmarkStart w:id="259" w:name="_Toc256000392"/>
      <w:r>
        <w:rPr>
          <w:b w:val="0"/>
        </w:rPr>
        <w:t>M14 — Хуманно отношение към животните (член 33)</w:t>
      </w:r>
      <w:bookmarkEnd w:id="259"/>
      <w:bookmarkEnd w:id="25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7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7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60" w:name="_Toc256000130"/>
      <w:bookmarkStart w:id="261" w:name="_Toc256000393"/>
      <w:r>
        <w:rPr>
          <w:b w:val="0"/>
        </w:rPr>
        <w:t>М15 — Екологични услуги и услуги във връзка с климата в горското стопанство и опазване на горите (член 34)</w:t>
      </w:r>
      <w:bookmarkEnd w:id="261"/>
      <w:bookmarkEnd w:id="26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34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37 и 42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Националната стратегия за Устойчиво развитие на горския сектор в България 2013-2020 г., горите се възприемат от българското общество като част от националното богатство и националната ни идентичност. Техните икономически, социални и екологични функции са от важно значение за устойчивото развитие на обществото и за подобряване на условията на живот, най-вече в селските и планински райони. Управлението на българските гори е ключов фактор за опазване на биологичното и ландшафтно разнообразие у нас. Българските гори осигуряват около 85% от водния отток в страната или около 3.6 млрд м3 ресурс от чиста питейна вода. Те имат значителна роля за намаляване емисиите от парникови газове в атмосферата, като свързват въглерода в натрупаната биомаса и фактически поглъщат СО2. Постоянното покритие с горскодървесна растителност е предпоставка за запазване на почвите и спиране на ерозията.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Важна цел от Стратегията е опазване и възстановяване компонентите на биологичното и ландшафтно разнообразие чрез интегриране на консервационните цели в горскостопанските практики, изграждане на адекватни системи за “ex-situ” съхраняване и природосъобразно управление на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тази мярка ще допринесат за приоритетна област 4А за опазването на биоразнообразието в горите. Мярката се състои от две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Плащания за горски екологични ангажименти и услуги свързани с климата, която поради липса на система за контрол ще се прилага от началото на 2016 г.,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съхранение и производство на горски генетични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15.2. Подпомагане за запазване и поддръжка на горски генетични ресурси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3"/>
              </w:numPr>
              <w:rPr>
                <w:b w:val="0"/>
              </w:rPr>
            </w:pPr>
            <w:r>
              <w:rPr>
                <w:b w:val="0"/>
              </w:rPr>
              <w:t>15.2 — подпомагане за опазването и укрепването на генетичните ресурси в горските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подмярка е в отговор на необходимостта от опазване на горските генетични ресурси, включително и  дейноститe по  развитие  на системата за опазването и устойчивото им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 България е малка по територия, но географското й положение е такова, че в нея се среща голямо разнообразие на екологични условия – орография, геологичен строеж и петрографски състав, климатична динамика и почвено разнообразие. Това обуславя наличието на богата горско-дървесна и храстова растителност. Досегашните проучвания са установили множество подвидове, вариетети и форми на дървесните и храстови видове показващи генетичното богатство на нашия горски фонд. На този генетичен запас трябва да се гледа като на естествено природно богатство. Именно в него се крие устойчивостта на горските популации. Горския генетичен фонд има изключително важно значение за живота на човека, като съществен компонент на околната среда. Ето защо опознаването и опазването му е една от предпоставките за опазване на околната среда. Необходимо е да бъде предотвратена евентуалната загуба на генетичен фонд, тъй като тя може да доведе до отрицателни последици за пригодността, продуктивността и да възпрепятства адаптивните промени в популациите в отговор на промяната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се гордее с редица съхранени уникални автохтонни популации от иглолистни и широколистни дървесни видове и храсти. В днешно време, от една страна рисковете от загуба на генетични ресурси в резултат на антропогенна дейност, природни бедствия, въздействие на промените в климата и други неблагоприятни фактори и от друга страна отговорността за това какво ще оставим на бъдещите поколения, ни задължава да предприемем още действия за опазване на горските генетични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генетичните ресурси по метода „ex situ” ни дава възможност устойчиво да съхраняваме и запазваме генетични ресурси, с което ще намалим риска от загуба на биологично разнообразие при евентуални бедствия, промяна на климата, едроплощни природни нарушения и други негативни фактори. Съхраняването за в бъдеще на генетичен материал в генната банка, семепроизводствени градини и клонови колекции ще осигури широк спектър от генетични запаси и ще позволи използването на най-подходящите произходи при необходимост от възстановяване на увредени хабитати. По този начин в голямя степен ще се горантира приноса на горите за екологични, климатични и социални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І. Дейности за опазване на генетичните ресурси, които са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“ex situ” съхранение чрез създаване на семепроизводствени градини и клонови колекции от различни произходи на местните дървесни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ІІ. За целите по т.І са допустими и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Инвестиции за определяне, добив, съхранение и производство на горски генетични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Обмяна на информация и опит с компетентни организации от други държави-членки в областта на горските генетични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Разпространение на информация във връзка с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21 от 12 ноември 2012 година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ind w:left="288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88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88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институции, отговорни за управлението на горските генетичните ресурси</w:t>
            </w:r>
          </w:p>
          <w:p>
            <w:pPr>
              <w:numPr>
                <w:ilvl w:val="0"/>
                <w:numId w:val="4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институти и университети с компетентност относно горските генетични ресурси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определяне на източници, събиране, преработка и добив на горски репродуктивни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производство на фиданки за създаване на семепроизводствени градини и клонови колекции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създаване, попълване, отглеждане и поддържане на семепроизводствени градини и клонови колекции, включително тяхното ограждане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командировъчни (пътни, дневни, квартирни), свързани определяне на източници и добива на горски репродуктивни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разработване и закупуване на специализиран софтуер в областта на генетичните ресурси, както и разработване и поддържане на интернет сайт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разпространение на резултатите от проекта – създаване на интернет сайт, печатни материали,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обмяна на информация и опит с компетентни организации от други държави-членки в областта на горските генетични ресурси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инвестиции за целите на проекта, включително и чрез финансов лизинг, на нови специализирани машини и прикачен инвентар, техника, оборудване и съоръжения; лабораторно оборудване и апаратура и свързаните с тях химикали и консумативи за нуждите на генната банка.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закупуване на високопроходими автомобили.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трябва да представят план за изпълнение на проекта за период от 5 години в случаите на създаване на семепроизводствена градина и клонова колекция и 7 години за нуждите на генната банка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Планът за изпълнение трябва да съдържа цели, описание на дейностите и предвидените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дейности по запазването на генетичното разнообразие е свързано само с дървесни видове, които са местни за България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Държавните институции, отговорни за управлението на горските генетични ресурси, които изпълняват дейности, свързани със създаване на семепроизводствени градини и клонови колекции, изпълняват проекти само в териториалния обхват, определен в устройствения правилник на институцията.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закупуване на високопроходими автомобили са допустими само за нуждите на генната банка и са пряко свързани със събирането на горски репродуктивен материал, като за периода на изпълнение на програмата се подпомага закупуването само по един високопроходим автомобил за всяко от специализираните териториални звена, отговорни за управлението на горските генетичните ресурси.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като самостоятелен проект дейности, включващи единствено информационни дейности, инвестиции и дейности по обмяна на информация и опит с други държави-членки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 настоящата подмярка не се предоставя подпомагане за дейности, финансирани от Рамковата програма на ЕС за научни изследвания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 „ex situ” съхранение чрез попълване и поддържане на колекция от семена от горскодървесни и храстови видове в генна банка и база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сухоустойчиви дървесни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устойчиви на пожари дървесни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редки и ценни дървесни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застрашени от генетична ерозия дървесни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относно“ex situ” съхранение чрез създаване на семепроизводствени градини и клонови колекции от основни дървесни видове от автохтонни популации.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тази подмярка е в размер на левовата равностойност на 1 500 000 евро. Процентът на съфинансиране от ЕЗФРСР е 75 %.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350 000 евро в случаите, когато се отнася за генна банка, и 150 000 евро в случаите, когато се отнася за семепроизводствени градини и клонови колекции.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авансово плащане в размер до 50% от общия размер на одобрената финансова помощ, в случай, че е предвидено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в нормативната уредба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 нормативната уредба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чрез въвеждане на кръстосани проверки с останалите мерки и под-мерки от ПРСР за установяване на допустимостта на заявените дейности/разходи.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съответните задължителни изисквания, установени в националното законодателство в областта на горите или в друго приложимо национално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Описание на методологията и на прогнозите и параметрите, включително описание на базовите изисквания, посочени в член 34,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3"/>
        <w:jc w:val="left"/>
        <w:rPr>
          <w:b w:val="0"/>
        </w:rPr>
      </w:pPr>
      <w:r>
        <w:rPr>
          <w:b w:val="0"/>
        </w:rPr>
        <w:br w:type="page"/>
      </w:r>
      <w:bookmarkStart w:id="262" w:name="_Toc256000131"/>
      <w:bookmarkStart w:id="263" w:name="_Toc256000394"/>
      <w:r>
        <w:rPr>
          <w:b w:val="0"/>
        </w:rPr>
        <w:t>M16 — Сътрудничество (член 35)</w:t>
      </w:r>
      <w:bookmarkEnd w:id="263"/>
      <w:bookmarkEnd w:id="26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76"/>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450 000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09"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906504" name=""/>
                          <pic:cNvPicPr>
                            <a:picLocks noChangeAspect="1"/>
                          </pic:cNvPicPr>
                        </pic:nvPicPr>
                        <pic:blipFill>
                          <a:blip xmlns:r="http://schemas.openxmlformats.org/officeDocument/2006/relationships" r:embed="rId18"/>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16.2. Подкрепа за пилотни проекти и за развитие на нови продукти, практики, процеси и технологии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85"/>
              </w:numPr>
              <w:rPr>
                <w:b w:val="0"/>
              </w:rPr>
            </w:pPr>
            <w:r>
              <w:rPr>
                <w:b w:val="0"/>
              </w:rPr>
              <w:t>16.2 — подпомагане за пилотни проекти и за разработване на нови продукти, практики, процеси и технологии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на новосъздадени клъстери, в които са групирани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изпълнение на проекти насочени към  производство на качествени и безопасни храни; подобряване на конкурентоспособността на първичните производители чрез по-доброто им интегриране в селскостопанската и хранителната верига; възстановяване, опазване и укрепване на биологичното разнообразие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новосъздаден клъстер може да изпълнява един проект за сътрудничество. В проекта се посочва организацията на сътрудничеството в рамките на клъстера, участниците и  икономическата/иновативна дейност на всеки участник, както и общите дейности, вида на споделените съоръжения, информацията, която ще се разпространява сред участниците, включени в клъстера.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на новосъздаден клъстери за изпълнение на действията по конкретни проекти за сътрудничество.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подкрепят проекти, които са самостоятелни научни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проектите не може да се включват:  демонстрационни обекти, съгласно определянето им като такива по подмярка 1.2. от мярка 1“Трансфер на знания и дейности за осведомяване“; обекти включвани в проекти за подкрепа по ОП „Наука и образование за интелигентен растеж“; дейности и лица, подкрепени по ОП „Иновации и конкурентоспособност“ в съответствие с демаркацията.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новосъздадените клъстери може да обхваща две фази: фаза на сформиране на клъстера и фаза на функциониране на новосъздадения клъстер.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биоразнообразието и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новосъздадени клъстери, които изпълняват конкретни проекти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новосъздаден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на клъстера – 10 000 евро на година за новосъздаден клъстер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новосъздаден клъстер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проект за сътрудничество, включително разходи за инвестиции – съгласно представен инвестиционен план - допустими само за втора фаза на изпълнение.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Да са новосъздаден клъстер под формата на обединение, в което са включени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Независими предприятия, включително новосъздадени, които могат да бъдат: малки, средни или големи предприятия, извършващи дейност в областта на първичното производство на земеделска продукция или преработката.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Научноизследователски организации, които могат да бъдат: научни институти или опитни станции, които извършват научни изследвания и научно обслужване в областта на селското стопанство или биотехнологиите или хранителните технологии и са организации по Закона за Селскостопанската академия, Закона за Българската академия на науките;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Организации, които осъществяват оценка на съответствието на качествените характеристики на храните, лабораторно-диагностична и научноизследователска дейност, обучение и квалификация.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Експериментални лаборатории, изследователски институти по смисъла на чл. 60 от Закона за администрацията.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организации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Клъстерът да е обединение от минимум 5 субекта от допустимите лица или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Дейностите, които ще се извършват в клъстера, да са в обхвата на Приложение I от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Да бъде представен подробен план и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Съдържанието на плана е представено в </w:t>
            </w:r>
            <w:r>
              <w:rPr>
                <w:rFonts w:ascii="Times New Roman" w:eastAsia="Times New Roman" w:hAnsi="Times New Roman" w:cs="Times New Roman"/>
                <w:b/>
                <w:bCs/>
                <w:szCs w:val="24"/>
              </w:rPr>
              <w:t>т. 8.2.14.3.2.12. Information specific to the operation</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Оценка на основните характеристики на клъстера – структура, териториално покритие, регионално или секторно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планираните дейности на клъстера и степента на покриване на една или повече от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и изпитване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Поддържане и подобряване на генофонда в растениевъдството и животновъдството за повишаване на потенциала на първичното селскостопанско производство;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възможностите за развитие на сектора/секторите в които оперира клъстера.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Оценка на методите за трансфер на знания и разпространението на информация сред участниците в клъстера;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Оценка на вида и качеството на споделените съоръжения, които са предвидени в инвестиционния план във връзка със значението за участниците в клъстера и устойчивост на резултатите от използването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1 500 000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16.2. са изчислени по методика, при която е  допуснато, че ще има три вида разходи, които произтичат от акта на сътрудничеството и организацията на изпълнението на проекта за сътрудничество на новосъздаден клъстер. Определянето на вида на опростените разходи и методиката за извършване на изчисленията се базира на използването на методите на статистическия анализ и по-точно на технологията „Извличане на знания от данни“ (</w:t>
            </w:r>
            <w:r>
              <w:rPr>
                <w:rFonts w:ascii="Times New Roman" w:eastAsia="Times New Roman" w:hAnsi="Times New Roman" w:cs="Times New Roman"/>
                <w:i/>
                <w:iCs/>
                <w:szCs w:val="24"/>
              </w:rPr>
              <w:t>Data mining</w:t>
            </w:r>
            <w:r>
              <w:rPr>
                <w:rFonts w:ascii="Times New Roman" w:eastAsia="Times New Roman" w:hAnsi="Times New Roman" w:cs="Times New Roman"/>
                <w:szCs w:val="24"/>
              </w:rPr>
              <w:t>) като процес на откриване на смислени корелации, зависимости, повтарящи се образци и тенденции в големи масиви от данни. Този вид извличане на данни посредством предварително формулирани заявки към базите данни събрани от предишни периоди, генерира имплицитно формулиране на не очевидна, предварително известна и полезна информация за използване на допустими, одобрени, прозрачно и точно направени разходи в минали периода за оценка на бъдещите такива. Предложени са три вида разходи, произтичащи от акта на сътрудничество, групирани съгласно т.5 от Guidance document “Co-operation” measure (version:November 2014), а именно: разходи за проучвания; разходи за стимулиране на интерес и разширяване на състава на новосъздадения клъстер; текущи разходи във връзка със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гореописания подход, бяха извлечени, статистически обработени и пресметнати средните стойности на релевантни единични дейности по отделни проекти, които са прилагани по подхода ЛИДЕР по Програмата за развитие на селските райони през програмния период 2007 – 2013 г. и на тяхна база са предложени стандартни таблица за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Съюз на икономистите в България, който е функционално независим орган от Министерство на земеделието, храните и горите и Държавен фонд „Земеделие“, съгласно чл.62 , пар.2 от регламент 1305/2013.</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клъстер съгласно чл. 2 параграф 1 буква р) от регламент 1605/2013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Клъстер означава групиране на независими предприятия, включително новосъздадени предприятия, малки, средни и големи предприятия, както и консултативни органи и/или научноизследователски организации, които целят да стимулират икономическата/иновативната дейност чрез утвърждаване на усилено взаимодействие, споделянето на съоръжения и обмена на знания и експертен опит, както и чрез ефективно допринасяне за трансфера на знания, свързването в мрежа и разпространяването на информация сред предприятията в клъстера.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87"/>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4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9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9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3839272" name=""/>
                          <pic:cNvPicPr>
                            <a:picLocks noChangeAspect="1"/>
                          </pic:cNvPicPr>
                        </pic:nvPicPr>
                        <pic:blipFill>
                          <a:blip xmlns:r="http://schemas.openxmlformats.org/officeDocument/2006/relationships" r:embed="rId18"/>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264" w:name="_Toc256000132"/>
      <w:bookmarkStart w:id="265" w:name="_Toc256000395"/>
      <w:r>
        <w:rPr>
          <w:b w:val="0"/>
        </w:rPr>
        <w:t>M19 — Подкрепа за местно развитие по LEADER (ВОМР — водено от общностите местно развитие) (член 35 от Регламент (ЕС) № 1303/2013)</w:t>
      </w:r>
      <w:bookmarkEnd w:id="265"/>
      <w:bookmarkEnd w:id="26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496"/>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(не са изпълнявали нито подмярка 431-2, нито подмярка 431-1 и мярка 41)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подмярка 431-2 или по подмярка 431-1 и мярка 41) и до 9 месеца за местни общности, не прилагали подхода ЛИДЕР през програмния период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6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периода 2007-2013 г. (не са изпълнявали подмярка 431-2 или мярка 41 и подмярка 431-1 на  територията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програмния период 2007-2013 г. на територия или част от територия, за която се кандидатства, (изпълнявали са подмярка 431-2 или мярка 41 и подмярка 431-1).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програмен период 2007 – 2013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програмен период 2007 – 2013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50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0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програмния период 2007-2013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50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50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програмния период 2007-2013 г.;</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в периода 2007-2013 г.</w:t>
            </w:r>
          </w:p>
          <w:p>
            <w:pPr>
              <w:numPr>
                <w:ilvl w:val="0"/>
                <w:numId w:val="5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15 000 евро за малък пилотен проект.</w:t>
            </w:r>
          </w:p>
          <w:p>
            <w:pPr>
              <w:numPr>
                <w:ilvl w:val="0"/>
                <w:numId w:val="5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504"/>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1 000 000 евро (общо за стратегията вкл. с текущите разходи и разходи за популяризиране 1 333 333 евро), а за групи с по-голямо население – до левовата равностойност на 1 500 000 евро (общо за стратегията вкл. с текущите разходи и разходи за популяризиране 2 000 000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506"/>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auto"/>
            <w:noWrap w:val="0"/>
            <w:tcMar>
              <w:top w:w="20" w:type="dxa"/>
              <w:bottom w:w="20" w:type="dxa"/>
            </w:tcMar>
            <w:vAlign w:val="center"/>
          </w:tcPr>
          <w:p>
            <w:pPr>
              <w:numPr>
                <w:numId w:val="512"/>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11"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388014" name=""/>
                          <pic:cNvPicPr>
                            <a:picLocks noChangeAspect="1"/>
                          </pic:cNvPicPr>
                        </pic:nvPicPr>
                        <pic:blipFill>
                          <a:blip xmlns:r="http://schemas.openxmlformats.org/officeDocument/2006/relationships" r:embed="rId19"/>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000916" name=""/>
                          <pic:cNvPicPr>
                            <a:picLocks noChangeAspect="1"/>
                          </pic:cNvPicPr>
                        </pic:nvPicPr>
                        <pic:blipFill>
                          <a:blip xmlns:r="http://schemas.openxmlformats.org/officeDocument/2006/relationships" r:embed="rId20"/>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sectPr>
          <w:pgMar w:top="900" w:right="900" w:bottom="900" w:left="900" w:header="720" w:footer="720"/>
          <w:cols w:space="720"/>
        </w:sectPr>
      </w:pPr>
    </w:p>
    <w:p>
      <w:pPr>
        <w:pStyle w:val="Heading1"/>
      </w:pPr>
      <w:bookmarkStart w:id="266" w:name="_Toc256000133"/>
      <w:bookmarkStart w:id="267" w:name="_Toc256000396"/>
      <w:r>
        <w:t>План за оценка</w:t>
      </w:r>
      <w:bookmarkEnd w:id="267"/>
      <w:bookmarkEnd w:id="266"/>
    </w:p>
    <w:p>
      <w:pPr>
        <w:pStyle w:val="Heading2"/>
      </w:pPr>
      <w:bookmarkStart w:id="268" w:name="_Toc256000134"/>
      <w:bookmarkStart w:id="269" w:name="_Toc256000397"/>
      <w:r>
        <w:t>Цели и задачи</w:t>
      </w:r>
      <w:bookmarkEnd w:id="269"/>
      <w:bookmarkEnd w:id="268"/>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270" w:name="_Toc256000135"/>
      <w:bookmarkStart w:id="271" w:name="_Toc256000398"/>
      <w:r>
        <w:t>Управление и координация</w:t>
      </w:r>
      <w:bookmarkEnd w:id="271"/>
      <w:bookmarkEnd w:id="270"/>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272" w:name="_Toc256000136"/>
      <w:bookmarkStart w:id="273" w:name="_Toc256000399"/>
      <w:r>
        <w:t>Предмет на оценката и дейности</w:t>
      </w:r>
      <w:bookmarkEnd w:id="273"/>
      <w:bookmarkEnd w:id="272"/>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274" w:name="_Toc256000137"/>
      <w:bookmarkStart w:id="275" w:name="_Toc256000400"/>
      <w:r>
        <w:t>Данни и информация</w:t>
      </w:r>
      <w:bookmarkEnd w:id="275"/>
      <w:bookmarkEnd w:id="274"/>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276" w:name="_Toc256000138"/>
      <w:bookmarkStart w:id="277" w:name="_Toc256000401"/>
      <w:r>
        <w:t>График</w:t>
      </w:r>
      <w:bookmarkEnd w:id="277"/>
      <w:bookmarkEnd w:id="276"/>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278" w:name="_Toc256000139"/>
      <w:bookmarkStart w:id="279" w:name="_Toc256000402"/>
      <w:r>
        <w:t>Комуникация</w:t>
      </w:r>
      <w:bookmarkEnd w:id="279"/>
      <w:bookmarkEnd w:id="278"/>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280" w:name="_Toc256000140"/>
      <w:bookmarkStart w:id="281" w:name="_Toc256000403"/>
      <w:r>
        <w:t>Ресурси</w:t>
      </w:r>
      <w:bookmarkEnd w:id="281"/>
      <w:bookmarkEnd w:id="280"/>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450" w:type="pct"/>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282" w:name="_Toc256000141"/>
      <w:bookmarkStart w:id="283" w:name="_Toc256000404"/>
      <w:r>
        <w:t>Финансов план</w:t>
      </w:r>
      <w:bookmarkEnd w:id="283"/>
      <w:bookmarkEnd w:id="282"/>
    </w:p>
    <w:p>
      <w:pPr>
        <w:pStyle w:val="Heading2"/>
      </w:pPr>
      <w:r>
        <w:t xml:space="preserve"> </w:t>
      </w:r>
      <w:bookmarkStart w:id="284" w:name="_Toc256000142"/>
      <w:bookmarkStart w:id="285" w:name="_Toc256000405"/>
      <w:r>
        <w:t>Годишно участие на ЕЗФРСР в (в евро)</w:t>
      </w:r>
      <w:bookmarkEnd w:id="285"/>
      <w:bookmarkEnd w:id="28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810"/>
        <w:gridCol w:w="1524"/>
        <w:gridCol w:w="1524"/>
        <w:gridCol w:w="1524"/>
        <w:gridCol w:w="1524"/>
        <w:gridCol w:w="1524"/>
        <w:gridCol w:w="1524"/>
        <w:gridCol w:w="1524"/>
        <w:gridCol w:w="1524"/>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50" w:type="pct"/>
            <w:shd w:val="clear" w:color="auto" w:fill="C0C0C0"/>
            <w:noWrap w:val="0"/>
            <w:tcMar>
              <w:top w:w="60" w:type="dxa"/>
            </w:tcMar>
            <w:vAlign w:val="top"/>
          </w:tcPr>
          <w:p>
            <w:pPr>
              <w:jc w:val="center"/>
              <w:rPr>
                <w:b/>
                <w:i w:val="0"/>
                <w:sz w:val="20"/>
              </w:rPr>
            </w:pPr>
            <w:r>
              <w:rPr>
                <w:b/>
                <w:i w:val="0"/>
                <w:sz w:val="20"/>
              </w:rPr>
              <w:t>Видове региони и допълнително разпределени средства</w:t>
            </w:r>
          </w:p>
        </w:tc>
        <w:tc>
          <w:tcPr>
            <w:tcW w:w="450" w:type="pct"/>
            <w:shd w:val="clear" w:color="auto" w:fill="C0C0C0"/>
            <w:noWrap w:val="0"/>
            <w:tcMar>
              <w:top w:w="60" w:type="dxa"/>
            </w:tcMar>
            <w:vAlign w:val="top"/>
          </w:tcPr>
          <w:p>
            <w:pPr>
              <w:jc w:val="center"/>
              <w:rPr>
                <w:b/>
                <w:i w:val="0"/>
                <w:sz w:val="20"/>
              </w:rPr>
            </w:pPr>
            <w:r>
              <w:rPr>
                <w:b/>
                <w:i w:val="0"/>
                <w:sz w:val="20"/>
              </w:rPr>
              <w:t>2014</w:t>
            </w:r>
          </w:p>
        </w:tc>
        <w:tc>
          <w:tcPr>
            <w:tcW w:w="450" w:type="pct"/>
            <w:shd w:val="clear" w:color="auto" w:fill="C0C0C0"/>
            <w:noWrap w:val="0"/>
            <w:tcMar>
              <w:top w:w="60" w:type="dxa"/>
            </w:tcMar>
            <w:vAlign w:val="top"/>
          </w:tcPr>
          <w:p>
            <w:pPr>
              <w:jc w:val="center"/>
              <w:rPr>
                <w:b/>
                <w:i w:val="0"/>
                <w:sz w:val="20"/>
              </w:rPr>
            </w:pPr>
            <w:r>
              <w:rPr>
                <w:b/>
                <w:i w:val="0"/>
                <w:sz w:val="20"/>
              </w:rPr>
              <w:t>2015</w:t>
            </w:r>
          </w:p>
        </w:tc>
        <w:tc>
          <w:tcPr>
            <w:tcW w:w="450" w:type="pct"/>
            <w:shd w:val="clear" w:color="auto" w:fill="C0C0C0"/>
            <w:noWrap w:val="0"/>
            <w:tcMar>
              <w:top w:w="60" w:type="dxa"/>
            </w:tcMar>
            <w:vAlign w:val="top"/>
          </w:tcPr>
          <w:p>
            <w:pPr>
              <w:jc w:val="center"/>
              <w:rPr>
                <w:b/>
                <w:i w:val="0"/>
                <w:sz w:val="20"/>
              </w:rPr>
            </w:pPr>
            <w:r>
              <w:rPr>
                <w:b/>
                <w:i w:val="0"/>
                <w:sz w:val="20"/>
              </w:rPr>
              <w:t>2016</w:t>
            </w:r>
          </w:p>
        </w:tc>
        <w:tc>
          <w:tcPr>
            <w:tcW w:w="450" w:type="pct"/>
            <w:shd w:val="clear" w:color="auto" w:fill="C0C0C0"/>
            <w:noWrap w:val="0"/>
            <w:tcMar>
              <w:top w:w="60" w:type="dxa"/>
            </w:tcMar>
            <w:vAlign w:val="top"/>
          </w:tcPr>
          <w:p>
            <w:pPr>
              <w:jc w:val="center"/>
              <w:rPr>
                <w:b/>
                <w:i w:val="0"/>
                <w:sz w:val="20"/>
              </w:rPr>
            </w:pPr>
            <w:r>
              <w:rPr>
                <w:b/>
                <w:i w:val="0"/>
                <w:sz w:val="20"/>
              </w:rPr>
              <w:t>2017</w:t>
            </w:r>
          </w:p>
        </w:tc>
        <w:tc>
          <w:tcPr>
            <w:tcW w:w="450" w:type="pct"/>
            <w:shd w:val="clear" w:color="auto" w:fill="C0C0C0"/>
            <w:noWrap w:val="0"/>
            <w:tcMar>
              <w:top w:w="60" w:type="dxa"/>
            </w:tcMar>
            <w:vAlign w:val="top"/>
          </w:tcPr>
          <w:p>
            <w:pPr>
              <w:jc w:val="center"/>
              <w:rPr>
                <w:b/>
                <w:i w:val="0"/>
                <w:sz w:val="20"/>
              </w:rPr>
            </w:pPr>
            <w:r>
              <w:rPr>
                <w:b/>
                <w:i w:val="0"/>
                <w:sz w:val="20"/>
              </w:rPr>
              <w:t>2018</w:t>
            </w:r>
          </w:p>
        </w:tc>
        <w:tc>
          <w:tcPr>
            <w:tcW w:w="450" w:type="pct"/>
            <w:shd w:val="clear" w:color="auto" w:fill="C0C0C0"/>
            <w:noWrap w:val="0"/>
            <w:tcMar>
              <w:top w:w="60" w:type="dxa"/>
            </w:tcMar>
            <w:vAlign w:val="top"/>
          </w:tcPr>
          <w:p>
            <w:pPr>
              <w:jc w:val="center"/>
              <w:rPr>
                <w:b/>
                <w:i w:val="0"/>
                <w:sz w:val="20"/>
              </w:rPr>
            </w:pPr>
            <w:r>
              <w:rPr>
                <w:b/>
                <w:i w:val="0"/>
                <w:sz w:val="20"/>
              </w:rPr>
              <w:t>2019</w:t>
            </w:r>
          </w:p>
        </w:tc>
        <w:tc>
          <w:tcPr>
            <w:tcW w:w="450" w:type="pct"/>
            <w:shd w:val="clear" w:color="auto" w:fill="C0C0C0"/>
            <w:noWrap w:val="0"/>
            <w:tcMar>
              <w:top w:w="60" w:type="dxa"/>
            </w:tcMar>
            <w:vAlign w:val="top"/>
          </w:tcPr>
          <w:p>
            <w:pPr>
              <w:jc w:val="center"/>
              <w:rPr>
                <w:b/>
                <w:i w:val="0"/>
                <w:sz w:val="20"/>
              </w:rPr>
            </w:pPr>
            <w:r>
              <w:rPr>
                <w:b/>
                <w:i w:val="0"/>
                <w:sz w:val="20"/>
              </w:rPr>
              <w:t>2020</w:t>
            </w:r>
          </w:p>
        </w:tc>
        <w:tc>
          <w:tcPr>
            <w:tcW w:w="450" w:type="pct"/>
            <w:shd w:val="clear" w:color="auto" w:fill="C0C0C0"/>
            <w:noWrap w:val="0"/>
            <w:tcMar>
              <w:top w:w="60" w:type="dxa"/>
            </w:tcMar>
            <w:vAlign w:val="top"/>
          </w:tcPr>
          <w:p>
            <w:pPr>
              <w:jc w:val="center"/>
              <w:rPr>
                <w:b w:val="0"/>
                <w:i w:val="0"/>
                <w:sz w:val="20"/>
              </w:rPr>
            </w:pPr>
            <w:r>
              <w:rPr>
                <w:b/>
                <w:i w:val="0"/>
                <w:sz w:val="20"/>
              </w:rPr>
              <w:t>Total</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502 807 341,00</w:t>
            </w:r>
          </w:p>
        </w:tc>
        <w:tc>
          <w:tcPr>
            <w:tcW w:w="450" w:type="pct"/>
            <w:shd w:val="clear" w:color="auto" w:fill="FFFFFF"/>
            <w:noWrap w:val="0"/>
            <w:tcMar>
              <w:top w:w="60" w:type="dxa"/>
            </w:tcMar>
            <w:vAlign w:val="top"/>
          </w:tcPr>
          <w:p>
            <w:pPr>
              <w:jc w:val="right"/>
              <w:rPr>
                <w:b w:val="0"/>
                <w:i w:val="0"/>
                <w:sz w:val="16"/>
              </w:rPr>
            </w:pPr>
            <w:r>
              <w:rPr>
                <w:b w:val="0"/>
                <w:i w:val="0"/>
                <w:sz w:val="16"/>
              </w:rPr>
              <w:t>502 357 057,00</w:t>
            </w:r>
          </w:p>
        </w:tc>
        <w:tc>
          <w:tcPr>
            <w:tcW w:w="450" w:type="pct"/>
            <w:shd w:val="clear" w:color="auto" w:fill="FFFFFF"/>
            <w:noWrap w:val="0"/>
            <w:tcMar>
              <w:top w:w="60" w:type="dxa"/>
            </w:tcMar>
            <w:vAlign w:val="top"/>
          </w:tcPr>
          <w:p>
            <w:pPr>
              <w:jc w:val="right"/>
              <w:rPr>
                <w:b w:val="0"/>
                <w:i w:val="0"/>
                <w:sz w:val="16"/>
              </w:rPr>
            </w:pPr>
            <w:r>
              <w:rPr>
                <w:b w:val="0"/>
                <w:i w:val="0"/>
                <w:sz w:val="16"/>
              </w:rPr>
              <w:t>334 147 994,00</w:t>
            </w:r>
          </w:p>
        </w:tc>
        <w:tc>
          <w:tcPr>
            <w:tcW w:w="450" w:type="pct"/>
            <w:shd w:val="clear" w:color="auto" w:fill="FFFFFF"/>
            <w:noWrap w:val="0"/>
            <w:tcMar>
              <w:top w:w="60" w:type="dxa"/>
            </w:tcMar>
            <w:vAlign w:val="top"/>
          </w:tcPr>
          <w:p>
            <w:pPr>
              <w:jc w:val="right"/>
              <w:rPr>
                <w:b w:val="0"/>
                <w:i w:val="0"/>
                <w:sz w:val="16"/>
              </w:rPr>
            </w:pPr>
            <w:r>
              <w:rPr>
                <w:b w:val="0"/>
                <w:i w:val="0"/>
                <w:sz w:val="16"/>
              </w:rPr>
              <w:t>333 680 052,00</w:t>
            </w:r>
          </w:p>
        </w:tc>
        <w:tc>
          <w:tcPr>
            <w:tcW w:w="450" w:type="pct"/>
            <w:shd w:val="clear" w:color="auto" w:fill="FFFFFF"/>
            <w:noWrap w:val="0"/>
            <w:tcMar>
              <w:top w:w="60" w:type="dxa"/>
            </w:tcMar>
            <w:vAlign w:val="top"/>
          </w:tcPr>
          <w:p>
            <w:pPr>
              <w:jc w:val="right"/>
              <w:rPr>
                <w:b w:val="0"/>
                <w:i w:val="0"/>
                <w:sz w:val="16"/>
              </w:rPr>
            </w:pPr>
            <w:r>
              <w:rPr>
                <w:b w:val="0"/>
                <w:i w:val="0"/>
                <w:sz w:val="16"/>
              </w:rPr>
              <w:t>333 187 306,00</w:t>
            </w:r>
          </w:p>
        </w:tc>
        <w:tc>
          <w:tcPr>
            <w:tcW w:w="450" w:type="pct"/>
            <w:shd w:val="clear" w:color="auto" w:fill="FFFFFF"/>
            <w:noWrap w:val="0"/>
            <w:tcMar>
              <w:top w:w="60" w:type="dxa"/>
            </w:tcMar>
            <w:vAlign w:val="top"/>
          </w:tcPr>
          <w:p>
            <w:pPr>
              <w:jc w:val="right"/>
              <w:rPr>
                <w:b/>
                <w:i w:val="0"/>
                <w:sz w:val="16"/>
              </w:rPr>
            </w:pPr>
            <w:r>
              <w:rPr>
                <w:b w:val="0"/>
                <w:i w:val="0"/>
                <w:sz w:val="16"/>
              </w:rPr>
              <w:t>332 604 216,00</w:t>
            </w:r>
          </w:p>
        </w:tc>
        <w:tc>
          <w:tcPr>
            <w:tcW w:w="450" w:type="pct"/>
            <w:shd w:val="clear" w:color="auto" w:fill="FFFFFF"/>
            <w:noWrap w:val="0"/>
            <w:tcMar>
              <w:top w:w="60" w:type="dxa"/>
            </w:tcMar>
            <w:vAlign w:val="top"/>
          </w:tcPr>
          <w:p>
            <w:pPr>
              <w:jc w:val="right"/>
              <w:rPr>
                <w:b w:val="0"/>
                <w:i w:val="0"/>
                <w:sz w:val="16"/>
              </w:rPr>
            </w:pPr>
            <w:r>
              <w:rPr>
                <w:b/>
                <w:i w:val="0"/>
                <w:sz w:val="16"/>
              </w:rPr>
              <w:t>2 338 783 966,00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0,00</w:t>
            </w:r>
          </w:p>
        </w:tc>
        <w:tc>
          <w:tcPr>
            <w:tcW w:w="450" w:type="pct"/>
            <w:shd w:val="clear" w:color="auto" w:fill="FFFFFF"/>
            <w:noWrap w:val="0"/>
            <w:tcMar>
              <w:top w:w="60" w:type="dxa"/>
            </w:tcMar>
            <w:vAlign w:val="top"/>
          </w:tcPr>
          <w:p>
            <w:pPr>
              <w:jc w:val="right"/>
              <w:rPr>
                <w:b w:val="0"/>
                <w:i w:val="0"/>
                <w:sz w:val="16"/>
              </w:rPr>
            </w:pPr>
            <w:r>
              <w:rPr>
                <w:b w:val="0"/>
                <w:i w:val="0"/>
                <w:sz w:val="16"/>
              </w:rPr>
              <w:t>2 663 000,00</w:t>
            </w:r>
          </w:p>
        </w:tc>
        <w:tc>
          <w:tcPr>
            <w:tcW w:w="450" w:type="pct"/>
            <w:shd w:val="clear" w:color="auto" w:fill="FFFFFF"/>
            <w:noWrap w:val="0"/>
            <w:tcMar>
              <w:top w:w="60" w:type="dxa"/>
            </w:tcMar>
            <w:vAlign w:val="top"/>
          </w:tcPr>
          <w:p>
            <w:pPr>
              <w:jc w:val="right"/>
              <w:rPr>
                <w:b w:val="0"/>
                <w:i w:val="0"/>
                <w:sz w:val="16"/>
              </w:rPr>
            </w:pPr>
            <w:r>
              <w:rPr>
                <w:b w:val="0"/>
                <w:i w:val="0"/>
                <w:sz w:val="16"/>
              </w:rPr>
              <w:t>6 262 000,00</w:t>
            </w:r>
          </w:p>
        </w:tc>
        <w:tc>
          <w:tcPr>
            <w:tcW w:w="450" w:type="pct"/>
            <w:shd w:val="clear" w:color="auto" w:fill="FFFFFF"/>
            <w:noWrap w:val="0"/>
            <w:tcMar>
              <w:top w:w="60" w:type="dxa"/>
            </w:tcMar>
            <w:vAlign w:val="top"/>
          </w:tcPr>
          <w:p>
            <w:pPr>
              <w:jc w:val="right"/>
              <w:rPr>
                <w:b w:val="0"/>
                <w:i w:val="0"/>
                <w:sz w:val="16"/>
              </w:rPr>
            </w:pPr>
            <w:r>
              <w:rPr>
                <w:b w:val="0"/>
                <w:i w:val="0"/>
                <w:sz w:val="16"/>
              </w:rPr>
              <w:t>6 286 000,00</w:t>
            </w:r>
          </w:p>
        </w:tc>
        <w:tc>
          <w:tcPr>
            <w:tcW w:w="450" w:type="pct"/>
            <w:shd w:val="clear" w:color="auto" w:fill="FFFFFF"/>
            <w:noWrap w:val="0"/>
            <w:tcMar>
              <w:top w:w="60" w:type="dxa"/>
            </w:tcMar>
            <w:vAlign w:val="top"/>
          </w:tcPr>
          <w:p>
            <w:pPr>
              <w:jc w:val="right"/>
              <w:rPr>
                <w:b w:val="0"/>
                <w:i w:val="0"/>
                <w:sz w:val="16"/>
              </w:rPr>
            </w:pPr>
            <w:r>
              <w:rPr>
                <w:b w:val="0"/>
                <w:i w:val="0"/>
                <w:sz w:val="16"/>
              </w:rPr>
              <w:t>6 336 000,00</w:t>
            </w:r>
          </w:p>
        </w:tc>
        <w:tc>
          <w:tcPr>
            <w:tcW w:w="450" w:type="pct"/>
            <w:shd w:val="clear" w:color="auto" w:fill="FFFFFF"/>
            <w:noWrap w:val="0"/>
            <w:tcMar>
              <w:top w:w="60" w:type="dxa"/>
            </w:tcMar>
            <w:vAlign w:val="top"/>
          </w:tcPr>
          <w:p>
            <w:pPr>
              <w:jc w:val="right"/>
              <w:rPr>
                <w:b/>
                <w:i w:val="0"/>
                <w:sz w:val="16"/>
              </w:rPr>
            </w:pPr>
            <w:r>
              <w:rPr>
                <w:b w:val="0"/>
                <w:i w:val="0"/>
                <w:sz w:val="16"/>
              </w:rPr>
              <w:t>6 386 000,00</w:t>
            </w:r>
          </w:p>
        </w:tc>
        <w:tc>
          <w:tcPr>
            <w:tcW w:w="450" w:type="pct"/>
            <w:shd w:val="clear" w:color="auto" w:fill="FFFFFF"/>
            <w:noWrap w:val="0"/>
            <w:tcMar>
              <w:top w:w="60" w:type="dxa"/>
            </w:tcMar>
            <w:vAlign w:val="top"/>
          </w:tcPr>
          <w:p>
            <w:pPr>
              <w:jc w:val="right"/>
              <w:rPr>
                <w:b/>
                <w:i w:val="0"/>
                <w:sz w:val="16"/>
              </w:rPr>
            </w:pPr>
            <w:r>
              <w:rPr>
                <w:b/>
                <w:i w:val="0"/>
                <w:sz w:val="16"/>
              </w:rPr>
              <w:t>27 933 000,00</w:t>
            </w:r>
          </w:p>
        </w:tc>
      </w:tr>
      <w:tr>
        <w:tblPrEx>
          <w:tblW w:w="5000" w:type="pct"/>
          <w:tblCellMar>
            <w:left w:w="108" w:type="dxa"/>
            <w:right w:w="108" w:type="dxa"/>
          </w:tblCellMar>
        </w:tblPrEx>
        <w:tc>
          <w:tcPr>
            <w:tcW w:w="450" w:type="pct"/>
            <w:shd w:val="clear" w:color="auto" w:fill="C0C0C0"/>
            <w:noWrap w:val="0"/>
            <w:tcMar>
              <w:top w:w="60" w:type="dxa"/>
            </w:tcMar>
            <w:vAlign w:val="top"/>
          </w:tcPr>
          <w:p>
            <w:pPr>
              <w:jc w:val="left"/>
              <w:rPr>
                <w:b/>
                <w:i w:val="0"/>
                <w:sz w:val="16"/>
              </w:rPr>
            </w:pPr>
            <w:r>
              <w:rPr>
                <w:b/>
                <w:i w:val="0"/>
                <w:sz w:val="16"/>
              </w:rPr>
              <w:t>Общо</w:t>
            </w:r>
          </w:p>
        </w:tc>
        <w:tc>
          <w:tcPr>
            <w:tcW w:w="450" w:type="pct"/>
            <w:shd w:val="clear" w:color="auto" w:fill="C0C0C0"/>
            <w:noWrap w:val="0"/>
            <w:tcMar>
              <w:top w:w="60" w:type="dxa"/>
            </w:tcMar>
            <w:vAlign w:val="top"/>
          </w:tcPr>
          <w:p>
            <w:pPr>
              <w:jc w:val="right"/>
              <w:rPr>
                <w:b/>
                <w:i w:val="0"/>
                <w:sz w:val="16"/>
              </w:rPr>
            </w:pPr>
            <w:r>
              <w:rPr>
                <w:b/>
                <w:i w:val="0"/>
                <w:sz w:val="16"/>
              </w:rPr>
              <w:t>0,00</w:t>
            </w:r>
          </w:p>
        </w:tc>
        <w:tc>
          <w:tcPr>
            <w:tcW w:w="450" w:type="pct"/>
            <w:shd w:val="clear" w:color="auto" w:fill="C0C0C0"/>
            <w:noWrap w:val="0"/>
            <w:tcMar>
              <w:top w:w="60" w:type="dxa"/>
            </w:tcMar>
            <w:vAlign w:val="top"/>
          </w:tcPr>
          <w:p>
            <w:pPr>
              <w:jc w:val="right"/>
              <w:rPr>
                <w:b/>
                <w:i w:val="0"/>
                <w:sz w:val="16"/>
              </w:rPr>
            </w:pPr>
            <w:r>
              <w:rPr>
                <w:b/>
                <w:i w:val="0"/>
                <w:sz w:val="16"/>
              </w:rPr>
              <w:t>502 807 341,00</w:t>
            </w:r>
          </w:p>
        </w:tc>
        <w:tc>
          <w:tcPr>
            <w:tcW w:w="450" w:type="pct"/>
            <w:shd w:val="clear" w:color="auto" w:fill="C0C0C0"/>
            <w:noWrap w:val="0"/>
            <w:tcMar>
              <w:top w:w="60" w:type="dxa"/>
            </w:tcMar>
            <w:vAlign w:val="top"/>
          </w:tcPr>
          <w:p>
            <w:pPr>
              <w:jc w:val="right"/>
              <w:rPr>
                <w:b/>
                <w:i w:val="0"/>
                <w:sz w:val="16"/>
              </w:rPr>
            </w:pPr>
            <w:r>
              <w:rPr>
                <w:b/>
                <w:i w:val="0"/>
                <w:sz w:val="16"/>
              </w:rPr>
              <w:t>505 020 057,00</w:t>
            </w:r>
          </w:p>
        </w:tc>
        <w:tc>
          <w:tcPr>
            <w:tcW w:w="450" w:type="pct"/>
            <w:shd w:val="clear" w:color="auto" w:fill="C0C0C0"/>
            <w:noWrap w:val="0"/>
            <w:tcMar>
              <w:top w:w="60" w:type="dxa"/>
            </w:tcMar>
            <w:vAlign w:val="top"/>
          </w:tcPr>
          <w:p>
            <w:pPr>
              <w:jc w:val="right"/>
              <w:rPr>
                <w:b/>
                <w:i w:val="0"/>
                <w:sz w:val="16"/>
              </w:rPr>
            </w:pPr>
            <w:r>
              <w:rPr>
                <w:b/>
                <w:i w:val="0"/>
                <w:sz w:val="16"/>
              </w:rPr>
              <w:t>340 409 994,00</w:t>
            </w:r>
          </w:p>
        </w:tc>
        <w:tc>
          <w:tcPr>
            <w:tcW w:w="450" w:type="pct"/>
            <w:shd w:val="clear" w:color="auto" w:fill="C0C0C0"/>
            <w:noWrap w:val="0"/>
            <w:tcMar>
              <w:top w:w="60" w:type="dxa"/>
            </w:tcMar>
            <w:vAlign w:val="top"/>
          </w:tcPr>
          <w:p>
            <w:pPr>
              <w:jc w:val="right"/>
              <w:rPr>
                <w:b/>
                <w:i w:val="0"/>
                <w:sz w:val="16"/>
              </w:rPr>
            </w:pPr>
            <w:r>
              <w:rPr>
                <w:b/>
                <w:i w:val="0"/>
                <w:sz w:val="16"/>
              </w:rPr>
              <w:t>339 966 052,00</w:t>
            </w:r>
          </w:p>
        </w:tc>
        <w:tc>
          <w:tcPr>
            <w:tcW w:w="450" w:type="pct"/>
            <w:shd w:val="clear" w:color="auto" w:fill="C0C0C0"/>
            <w:noWrap w:val="0"/>
            <w:tcMar>
              <w:top w:w="60" w:type="dxa"/>
            </w:tcMar>
            <w:vAlign w:val="top"/>
          </w:tcPr>
          <w:p>
            <w:pPr>
              <w:jc w:val="right"/>
              <w:rPr>
                <w:b/>
                <w:i w:val="0"/>
                <w:sz w:val="16"/>
              </w:rPr>
            </w:pPr>
            <w:r>
              <w:rPr>
                <w:b/>
                <w:i w:val="0"/>
                <w:sz w:val="16"/>
              </w:rPr>
              <w:t>339 523 306,00</w:t>
            </w:r>
          </w:p>
        </w:tc>
        <w:tc>
          <w:tcPr>
            <w:tcW w:w="450" w:type="pct"/>
            <w:shd w:val="clear" w:color="auto" w:fill="C0C0C0"/>
            <w:noWrap w:val="0"/>
            <w:tcMar>
              <w:top w:w="60" w:type="dxa"/>
            </w:tcMar>
            <w:vAlign w:val="top"/>
          </w:tcPr>
          <w:p>
            <w:pPr>
              <w:jc w:val="right"/>
              <w:rPr>
                <w:b/>
                <w:i w:val="0"/>
                <w:sz w:val="16"/>
              </w:rPr>
            </w:pPr>
            <w:r>
              <w:rPr>
                <w:b/>
                <w:i w:val="0"/>
                <w:sz w:val="16"/>
              </w:rPr>
              <w:t>338 990 216,00</w:t>
            </w:r>
          </w:p>
        </w:tc>
        <w:tc>
          <w:tcPr>
            <w:tcW w:w="450" w:type="pct"/>
            <w:shd w:val="clear" w:color="auto" w:fill="C0C0C0"/>
            <w:noWrap w:val="0"/>
            <w:tcMar>
              <w:top w:w="60" w:type="dxa"/>
            </w:tcMar>
            <w:vAlign w:val="top"/>
          </w:tcPr>
          <w:p>
            <w:pPr>
              <w:jc w:val="right"/>
              <w:rPr>
                <w:b/>
                <w:i w:val="0"/>
                <w:sz w:val="16"/>
              </w:rPr>
            </w:pPr>
            <w:r>
              <w:rPr>
                <w:b/>
                <w:i w:val="0"/>
                <w:sz w:val="16"/>
              </w:rPr>
              <w:t>2 366 716 966,00</w:t>
            </w:r>
          </w:p>
        </w:tc>
      </w:tr>
      <w:tr>
        <w:tblPrEx>
          <w:tblW w:w="5000" w:type="pct"/>
          <w:tblCellMar>
            <w:left w:w="108" w:type="dxa"/>
            <w:right w:w="108" w:type="dxa"/>
          </w:tblCellMar>
        </w:tblPrEx>
        <w:tc>
          <w:tcPr>
            <w:tcW w:w="450" w:type="pct"/>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450" w:type="pct"/>
            <w:shd w:val="clear" w:color="auto" w:fill="FFFFFF"/>
            <w:noWrap w:val="0"/>
            <w:tcMar>
              <w:top w:w="60" w:type="dxa"/>
            </w:tcMar>
            <w:vAlign w:val="top"/>
          </w:tcPr>
          <w:p>
            <w:pPr>
              <w:jc w:val="right"/>
              <w:rPr>
                <w:b/>
                <w:i w:val="0"/>
                <w:sz w:val="16"/>
              </w:rPr>
            </w:pPr>
            <w:r>
              <w:rPr>
                <w:b/>
                <w:i w:val="0"/>
                <w:sz w:val="16"/>
              </w:rPr>
              <w:t>0,00</w:t>
            </w:r>
          </w:p>
        </w:tc>
        <w:tc>
          <w:tcPr>
            <w:tcW w:w="450" w:type="pct"/>
            <w:shd w:val="clear" w:color="auto" w:fill="FFFFFF"/>
            <w:noWrap w:val="0"/>
            <w:tcMar>
              <w:top w:w="60" w:type="dxa"/>
            </w:tcMar>
            <w:vAlign w:val="top"/>
          </w:tcPr>
          <w:p>
            <w:pPr>
              <w:jc w:val="right"/>
              <w:rPr>
                <w:b/>
                <w:i w:val="0"/>
                <w:sz w:val="16"/>
              </w:rPr>
            </w:pPr>
            <w:r>
              <w:rPr>
                <w:b/>
                <w:i w:val="0"/>
                <w:sz w:val="16"/>
              </w:rPr>
              <w:t>30 168 440,46</w:t>
            </w:r>
          </w:p>
        </w:tc>
        <w:tc>
          <w:tcPr>
            <w:tcW w:w="450" w:type="pct"/>
            <w:shd w:val="clear" w:color="auto" w:fill="FFFFFF"/>
            <w:noWrap w:val="0"/>
            <w:tcMar>
              <w:top w:w="60" w:type="dxa"/>
            </w:tcMar>
            <w:vAlign w:val="top"/>
          </w:tcPr>
          <w:p>
            <w:pPr>
              <w:jc w:val="right"/>
              <w:rPr>
                <w:b/>
                <w:i w:val="0"/>
                <w:sz w:val="16"/>
              </w:rPr>
            </w:pPr>
            <w:r>
              <w:rPr>
                <w:b/>
                <w:i w:val="0"/>
                <w:sz w:val="16"/>
              </w:rPr>
              <w:t>30 141 423,42</w:t>
            </w:r>
          </w:p>
        </w:tc>
        <w:tc>
          <w:tcPr>
            <w:tcW w:w="450" w:type="pct"/>
            <w:shd w:val="clear" w:color="auto" w:fill="FFFFFF"/>
            <w:noWrap w:val="0"/>
            <w:tcMar>
              <w:top w:w="60" w:type="dxa"/>
            </w:tcMar>
            <w:vAlign w:val="top"/>
          </w:tcPr>
          <w:p>
            <w:pPr>
              <w:jc w:val="right"/>
              <w:rPr>
                <w:b/>
                <w:i w:val="0"/>
                <w:sz w:val="16"/>
              </w:rPr>
            </w:pPr>
            <w:r>
              <w:rPr>
                <w:b/>
                <w:i w:val="0"/>
                <w:sz w:val="16"/>
              </w:rPr>
              <w:t>20 048 879,64</w:t>
            </w:r>
          </w:p>
        </w:tc>
        <w:tc>
          <w:tcPr>
            <w:tcW w:w="450" w:type="pct"/>
            <w:shd w:val="clear" w:color="auto" w:fill="FFFFFF"/>
            <w:noWrap w:val="0"/>
            <w:tcMar>
              <w:top w:w="60" w:type="dxa"/>
            </w:tcMar>
            <w:vAlign w:val="top"/>
          </w:tcPr>
          <w:p>
            <w:pPr>
              <w:jc w:val="right"/>
              <w:rPr>
                <w:b/>
                <w:i w:val="0"/>
                <w:sz w:val="16"/>
              </w:rPr>
            </w:pPr>
            <w:r>
              <w:rPr>
                <w:b/>
                <w:i w:val="0"/>
                <w:sz w:val="16"/>
              </w:rPr>
              <w:t>20 020 803,12</w:t>
            </w:r>
          </w:p>
        </w:tc>
        <w:tc>
          <w:tcPr>
            <w:tcW w:w="450" w:type="pct"/>
            <w:shd w:val="clear" w:color="auto" w:fill="FFFFFF"/>
            <w:noWrap w:val="0"/>
            <w:tcMar>
              <w:top w:w="60" w:type="dxa"/>
            </w:tcMar>
            <w:vAlign w:val="top"/>
          </w:tcPr>
          <w:p>
            <w:pPr>
              <w:jc w:val="right"/>
              <w:rPr>
                <w:b/>
                <w:i w:val="0"/>
                <w:sz w:val="16"/>
              </w:rPr>
            </w:pPr>
            <w:r>
              <w:rPr>
                <w:b/>
                <w:i w:val="0"/>
                <w:sz w:val="16"/>
              </w:rPr>
              <w:t>19 991 238,36</w:t>
            </w:r>
          </w:p>
        </w:tc>
        <w:tc>
          <w:tcPr>
            <w:tcW w:w="450" w:type="pct"/>
            <w:shd w:val="clear" w:color="auto" w:fill="FFFFFF"/>
            <w:noWrap w:val="0"/>
            <w:tcMar>
              <w:top w:w="60" w:type="dxa"/>
            </w:tcMar>
            <w:vAlign w:val="top"/>
          </w:tcPr>
          <w:p>
            <w:pPr>
              <w:jc w:val="right"/>
              <w:rPr>
                <w:b/>
                <w:i w:val="0"/>
                <w:sz w:val="16"/>
              </w:rPr>
            </w:pPr>
            <w:r>
              <w:rPr>
                <w:b/>
                <w:i w:val="0"/>
                <w:sz w:val="16"/>
              </w:rPr>
              <w:t>19 956 252,96</w:t>
            </w:r>
          </w:p>
        </w:tc>
        <w:tc>
          <w:tcPr>
            <w:tcW w:w="450" w:type="pct"/>
            <w:shd w:val="clear" w:color="auto" w:fill="FFFFFF"/>
            <w:noWrap w:val="0"/>
            <w:tcMar>
              <w:top w:w="60" w:type="dxa"/>
            </w:tcMar>
            <w:vAlign w:val="top"/>
          </w:tcPr>
          <w:p>
            <w:pPr>
              <w:jc w:val="right"/>
              <w:rPr>
                <w:b w:val="0"/>
                <w:i w:val="0"/>
                <w:sz w:val="16"/>
              </w:rPr>
            </w:pPr>
            <w:r>
              <w:rPr>
                <w:b/>
                <w:i w:val="0"/>
                <w:sz w:val="16"/>
              </w:rPr>
              <w:t>140 327 037,96</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предвидена за цели във връзка с изменението на климата</w:t>
            </w:r>
          </w:p>
        </w:tc>
        <w:tc>
          <w:tcPr>
            <w:tcW w:w="1250" w:type="pct"/>
            <w:shd w:val="clear" w:color="auto" w:fill="FFFFFF"/>
            <w:noWrap w:val="0"/>
            <w:tcMar>
              <w:top w:w="60" w:type="dxa"/>
            </w:tcMar>
            <w:vAlign w:val="top"/>
          </w:tcPr>
          <w:p>
            <w:pPr>
              <w:jc w:val="right"/>
              <w:rPr>
                <w:b w:val="0"/>
                <w:i w:val="0"/>
                <w:sz w:val="16"/>
              </w:rPr>
            </w:pPr>
            <w:r>
              <w:rPr>
                <w:b/>
                <w:i w:val="0"/>
                <w:sz w:val="16"/>
              </w:rPr>
              <w:t>1 245 943 594,20</w:t>
            </w:r>
          </w:p>
        </w:tc>
      </w:tr>
    </w:tbl>
    <w:p>
      <w:pPr>
        <w:rPr>
          <w:b/>
          <w:i w:val="0"/>
        </w:rPr>
        <w:sectPr>
          <w:pgSz w:w="15840" w:h="12240" w:orient="landscape"/>
          <w:pgMar w:top="900" w:right="900" w:bottom="900" w:left="900" w:header="720" w:footer="720"/>
          <w:cols w:space="720"/>
        </w:sectPr>
      </w:pPr>
    </w:p>
    <w:p>
      <w:pPr>
        <w:pStyle w:val="Heading2"/>
      </w:pPr>
      <w:r>
        <w:t xml:space="preserve"> </w:t>
      </w:r>
      <w:bookmarkStart w:id="286" w:name="_Toc256000143"/>
      <w:bookmarkStart w:id="287" w:name="_Toc256000406"/>
      <w:r>
        <w:t>Единно процентно участие на ЕЗФРСР за всички мерки с разбивка по вид регион, съгласно посоченото в член 59, параграф 3 от Регламент (ЕС) № 1305/2013</w:t>
      </w:r>
      <w:bookmarkEnd w:id="287"/>
      <w:bookmarkEnd w:id="2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9814"/>
        <w:gridCol w:w="1402"/>
        <w:gridCol w:w="1402"/>
        <w:gridCol w:w="140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от ЕЗФРСР за периода 2014 — 2020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от ЕЗФРСР за периода 2014 — 2020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288" w:name="_Toc256000144"/>
      <w:bookmarkStart w:id="289" w:name="_Toc256000407"/>
      <w:r>
        <w:rPr>
          <w:b/>
        </w:rPr>
        <w:t>Разбивката по мярка или вид операция, с конкретния размер на процентното участие на ЕЗФРСР (в евро за целия период 2014 — 2020 г.)</w:t>
      </w:r>
      <w:bookmarkEnd w:id="289"/>
      <w:bookmarkEnd w:id="288"/>
    </w:p>
    <w:p>
      <w:pPr>
        <w:pStyle w:val="Heading3"/>
        <w:jc w:val="left"/>
        <w:rPr>
          <w:b w:val="0"/>
        </w:rPr>
      </w:pPr>
      <w:bookmarkStart w:id="290" w:name="_Toc256000145"/>
      <w:bookmarkStart w:id="291" w:name="_Toc256000408"/>
      <w:r>
        <w:rPr>
          <w:b w:val="0"/>
        </w:rPr>
        <w:t>М01 — Трансфер на знания и действия за осведомяване (член 14)</w:t>
      </w:r>
      <w:bookmarkEnd w:id="291"/>
      <w:bookmarkEnd w:id="29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5 310 000,00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22 855 136,00</w:t>
            </w:r>
          </w:p>
        </w:tc>
      </w:tr>
    </w:tbl>
    <w:p>
      <w:pPr>
        <w:pStyle w:val="Heading3"/>
        <w:jc w:val="left"/>
        <w:rPr>
          <w:b w:val="0"/>
        </w:rPr>
      </w:pPr>
      <w:r>
        <w:rPr>
          <w:b/>
        </w:rPr>
        <w:br w:type="page"/>
      </w:r>
      <w:bookmarkStart w:id="292" w:name="_Toc256000146"/>
      <w:bookmarkStart w:id="293" w:name="_Toc256000409"/>
      <w:r>
        <w:rPr>
          <w:b w:val="0"/>
        </w:rPr>
        <w:t>М02 —  Консултантски услуги, услуги по управление на стопанство и услуги по заместване в стопанство (член 15)</w:t>
      </w:r>
      <w:bookmarkEnd w:id="293"/>
      <w:bookmarkEnd w:id="29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11 771 250,00 (2A)</w:t>
            </w:r>
          </w:p>
          <w:p>
            <w:pPr>
              <w:jc w:val="right"/>
              <w:rPr>
                <w:b w:val="0"/>
                <w:sz w:val="16"/>
              </w:rPr>
            </w:pPr>
            <w:r>
              <w:rPr>
                <w:b w:val="0"/>
                <w:sz w:val="16"/>
              </w:rPr>
              <w:t>1 148 957,00 (2B)</w:t>
            </w:r>
          </w:p>
          <w:p>
            <w:pPr>
              <w:jc w:val="right"/>
              <w:rPr>
                <w:b w:val="0"/>
                <w:sz w:val="16"/>
              </w:rPr>
            </w:pPr>
            <w:r>
              <w:rPr>
                <w:b w:val="0"/>
                <w:sz w:val="16"/>
              </w:rPr>
              <w:t>836 400,00 (3A)</w:t>
            </w:r>
          </w:p>
          <w:p>
            <w:pPr>
              <w:jc w:val="right"/>
              <w:rPr>
                <w:b w:val="0"/>
                <w:sz w:val="16"/>
              </w:rPr>
            </w:pPr>
            <w:r>
              <w:rPr>
                <w:b w:val="0"/>
                <w:sz w:val="16"/>
              </w:rPr>
              <w:t>127 500,00 (3B)</w:t>
            </w:r>
          </w:p>
          <w:p>
            <w:pPr>
              <w:jc w:val="right"/>
              <w:rPr>
                <w:b w:val="0"/>
                <w:sz w:val="16"/>
              </w:rPr>
            </w:pPr>
            <w:r>
              <w:rPr>
                <w:b w:val="0"/>
                <w:sz w:val="16"/>
              </w:rPr>
              <w:t>1 067 020,00 (P4)</w:t>
            </w:r>
          </w:p>
          <w:p>
            <w:pPr>
              <w:jc w:val="right"/>
              <w:rPr>
                <w:b w:val="0"/>
                <w:sz w:val="16"/>
              </w:rPr>
            </w:pPr>
            <w:r>
              <w:rPr>
                <w:b w:val="0"/>
                <w:sz w:val="16"/>
              </w:rPr>
              <w:t>178 500,00 (5A)</w:t>
            </w:r>
          </w:p>
          <w:p>
            <w:pPr>
              <w:jc w:val="right"/>
              <w:rPr>
                <w:b w:val="0"/>
                <w:sz w:val="16"/>
              </w:rPr>
            </w:pPr>
            <w:r>
              <w:rPr>
                <w:b w:val="0"/>
                <w:sz w:val="16"/>
              </w:rPr>
              <w:t>397 035,00 (5B)</w:t>
            </w:r>
          </w:p>
          <w:p>
            <w:pPr>
              <w:jc w:val="right"/>
              <w:rPr>
                <w:b w:val="0"/>
                <w:sz w:val="16"/>
              </w:rPr>
            </w:pPr>
            <w:r>
              <w:rPr>
                <w:b w:val="0"/>
                <w:sz w:val="16"/>
              </w:rPr>
              <w:t>462 722,00 (5C)</w:t>
            </w:r>
          </w:p>
          <w:p>
            <w:pPr>
              <w:jc w:val="right"/>
              <w:rPr>
                <w:b w:val="0"/>
                <w:sz w:val="16"/>
              </w:rPr>
            </w:pPr>
            <w:r>
              <w:rPr>
                <w:b w:val="0"/>
                <w:sz w:val="16"/>
              </w:rPr>
              <w:t>463 015,00 (5D)</w:t>
            </w:r>
          </w:p>
          <w:p>
            <w:pPr>
              <w:jc w:val="right"/>
              <w:rPr>
                <w:b w:val="0"/>
                <w:sz w:val="16"/>
              </w:rPr>
            </w:pPr>
            <w:r>
              <w:rPr>
                <w:b w:val="0"/>
                <w:sz w:val="16"/>
              </w:rPr>
              <w:t>455 875,00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16 908 274,00</w:t>
            </w:r>
          </w:p>
        </w:tc>
      </w:tr>
    </w:tbl>
    <w:p>
      <w:pPr>
        <w:pStyle w:val="Heading3"/>
        <w:jc w:val="left"/>
        <w:rPr>
          <w:b w:val="0"/>
        </w:rPr>
      </w:pPr>
      <w:r>
        <w:rPr>
          <w:b/>
        </w:rPr>
        <w:br w:type="page"/>
      </w:r>
      <w:bookmarkStart w:id="294" w:name="_Toc256000147"/>
      <w:bookmarkStart w:id="295" w:name="_Toc256000410"/>
      <w:r>
        <w:rPr>
          <w:b w:val="0"/>
        </w:rPr>
        <w:t>M04 — Инвестиции в материални активи (член 17)</w:t>
      </w:r>
      <w:bookmarkEnd w:id="295"/>
      <w:bookmarkEnd w:id="29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140 011 486,00 (2A)</w:t>
            </w:r>
          </w:p>
          <w:p>
            <w:pPr>
              <w:jc w:val="right"/>
              <w:rPr>
                <w:b w:val="0"/>
                <w:sz w:val="16"/>
              </w:rPr>
            </w:pPr>
            <w:r>
              <w:rPr>
                <w:b w:val="0"/>
                <w:sz w:val="16"/>
              </w:rPr>
              <w:t>37 850 000,00 (2B)</w:t>
            </w:r>
          </w:p>
          <w:p>
            <w:pPr>
              <w:jc w:val="right"/>
              <w:rPr>
                <w:b w:val="0"/>
                <w:sz w:val="16"/>
              </w:rPr>
            </w:pPr>
            <w:r>
              <w:rPr>
                <w:b w:val="0"/>
                <w:sz w:val="16"/>
              </w:rPr>
              <w:t>200 241 255,00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98 618 090,00 (P4)</w:t>
            </w:r>
          </w:p>
          <w:p>
            <w:pPr>
              <w:jc w:val="right"/>
              <w:rPr>
                <w:b w:val="0"/>
                <w:sz w:val="16"/>
              </w:rPr>
            </w:pPr>
            <w:r>
              <w:rPr>
                <w:b w:val="0"/>
                <w:sz w:val="16"/>
              </w:rPr>
              <w:t>37 849 395,00 (5A)</w:t>
            </w:r>
          </w:p>
          <w:p>
            <w:pPr>
              <w:jc w:val="right"/>
              <w:rPr>
                <w:b w:val="0"/>
                <w:sz w:val="16"/>
              </w:rPr>
            </w:pPr>
            <w:r>
              <w:rPr>
                <w:b w:val="0"/>
                <w:sz w:val="16"/>
              </w:rPr>
              <w:t>89 268 350,00 (5B)</w:t>
            </w:r>
          </w:p>
          <w:p>
            <w:pPr>
              <w:jc w:val="right"/>
              <w:rPr>
                <w:b w:val="0"/>
                <w:sz w:val="16"/>
              </w:rPr>
            </w:pPr>
            <w:r>
              <w:rPr>
                <w:b w:val="0"/>
                <w:sz w:val="16"/>
              </w:rPr>
              <w:t>32 501 117,00 (5C)</w:t>
            </w:r>
          </w:p>
          <w:p>
            <w:pPr>
              <w:jc w:val="right"/>
              <w:rPr>
                <w:b w:val="0"/>
                <w:sz w:val="16"/>
              </w:rPr>
            </w:pPr>
            <w:r>
              <w:rPr>
                <w:b w:val="0"/>
                <w:sz w:val="16"/>
              </w:rPr>
              <w:t>32 062 233,00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668 401 926,00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290 299 185,00</w:t>
            </w:r>
          </w:p>
        </w:tc>
      </w:tr>
    </w:tbl>
    <w:p>
      <w:pPr>
        <w:pStyle w:val="Heading3"/>
        <w:jc w:val="left"/>
        <w:rPr>
          <w:b w:val="0"/>
        </w:rPr>
      </w:pPr>
      <w:r>
        <w:rPr>
          <w:b/>
        </w:rPr>
        <w:br w:type="page"/>
      </w:r>
      <w:bookmarkStart w:id="296" w:name="_Toc256000148"/>
      <w:bookmarkStart w:id="297" w:name="_Toc256000411"/>
      <w:r>
        <w:rPr>
          <w:b w:val="0"/>
        </w:rPr>
        <w:t>M06 — Развитие на стопанства и предприятия (член 19)</w:t>
      </w:r>
      <w:bookmarkEnd w:id="297"/>
      <w:bookmarkEnd w:id="29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51 803 500,00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108 753 455,00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40 928 719,00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233 887 590,00</w:t>
            </w:r>
          </w:p>
        </w:tc>
      </w:tr>
    </w:tbl>
    <w:p>
      <w:pPr>
        <w:pStyle w:val="Heading3"/>
        <w:jc w:val="left"/>
        <w:rPr>
          <w:b w:val="0"/>
        </w:rPr>
      </w:pPr>
      <w:r>
        <w:rPr>
          <w:b/>
        </w:rPr>
        <w:br w:type="page"/>
      </w:r>
      <w:bookmarkStart w:id="298" w:name="_Toc256000149"/>
      <w:bookmarkStart w:id="299" w:name="_Toc256000412"/>
      <w:r>
        <w:rPr>
          <w:b w:val="0"/>
        </w:rPr>
        <w:t>М07 — Основни услуги и обновяване на селата в селските райони (член 20)</w:t>
      </w:r>
      <w:bookmarkEnd w:id="299"/>
      <w:bookmarkEnd w:id="2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446 867 024,00 (6B)</w:t>
            </w:r>
          </w:p>
          <w:p>
            <w:pPr>
              <w:jc w:val="right"/>
              <w:rPr>
                <w:b w:val="0"/>
                <w:sz w:val="16"/>
              </w:rPr>
            </w:pPr>
            <w:r>
              <w:rPr>
                <w:b w:val="0"/>
                <w:sz w:val="16"/>
              </w:rPr>
              <w:t>25 500 000,00 (6C)</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531 867 024,00</w:t>
            </w:r>
          </w:p>
        </w:tc>
      </w:tr>
    </w:tbl>
    <w:p>
      <w:pPr>
        <w:pStyle w:val="Heading3"/>
        <w:jc w:val="left"/>
        <w:rPr>
          <w:b w:val="0"/>
        </w:rPr>
      </w:pPr>
      <w:r>
        <w:rPr>
          <w:b/>
        </w:rPr>
        <w:br w:type="page"/>
      </w:r>
      <w:bookmarkStart w:id="300" w:name="_Toc256000150"/>
      <w:bookmarkStart w:id="301" w:name="_Toc256000413"/>
      <w:r>
        <w:rPr>
          <w:b w:val="0"/>
        </w:rPr>
        <w:t>М08 — Инвестиции в развитие на горските райони и подобряване на жизнеспособността на горите (членове 21 — 26)</w:t>
      </w:r>
      <w:bookmarkEnd w:id="301"/>
      <w:bookmarkEnd w:id="30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15 300 000,00 (2C+)</w:t>
            </w:r>
          </w:p>
          <w:p>
            <w:pPr>
              <w:jc w:val="right"/>
              <w:rPr>
                <w:b w:val="0"/>
                <w:sz w:val="16"/>
              </w:rPr>
            </w:pPr>
            <w:r>
              <w:rPr>
                <w:b w:val="0"/>
                <w:sz w:val="16"/>
              </w:rPr>
              <w:t>14 500 657,00 (P4)</w:t>
            </w:r>
          </w:p>
          <w:p>
            <w:pPr>
              <w:jc w:val="right"/>
              <w:rPr>
                <w:b w:val="0"/>
                <w:sz w:val="16"/>
              </w:rPr>
            </w:pPr>
            <w:r>
              <w:rPr>
                <w:b w:val="0"/>
                <w:sz w:val="16"/>
              </w:rPr>
              <w:t>16 362 500,00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6 913 334,00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53 076 491,00</w:t>
            </w:r>
          </w:p>
        </w:tc>
      </w:tr>
    </w:tbl>
    <w:p>
      <w:pPr>
        <w:pStyle w:val="Heading3"/>
        <w:jc w:val="left"/>
        <w:rPr>
          <w:b w:val="0"/>
        </w:rPr>
      </w:pPr>
      <w:r>
        <w:rPr>
          <w:b/>
        </w:rPr>
        <w:br w:type="page"/>
      </w:r>
      <w:bookmarkStart w:id="302" w:name="_Toc256000151"/>
      <w:bookmarkStart w:id="303" w:name="_Toc256000414"/>
      <w:r>
        <w:rPr>
          <w:b w:val="0"/>
        </w:rPr>
        <w:t>M09 — Създаване на групи и организации на производителите (член 27)</w:t>
      </w:r>
      <w:bookmarkEnd w:id="303"/>
      <w:bookmarkEnd w:id="30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7 016 352,00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7 016 352,00</w:t>
            </w:r>
          </w:p>
        </w:tc>
      </w:tr>
    </w:tbl>
    <w:p>
      <w:pPr>
        <w:pStyle w:val="Heading3"/>
        <w:jc w:val="left"/>
        <w:rPr>
          <w:b w:val="0"/>
        </w:rPr>
      </w:pPr>
      <w:r>
        <w:rPr>
          <w:b/>
        </w:rPr>
        <w:br w:type="page"/>
      </w:r>
      <w:bookmarkStart w:id="304" w:name="_Toc256000152"/>
      <w:bookmarkStart w:id="305" w:name="_Toc256000415"/>
      <w:r>
        <w:rPr>
          <w:b w:val="0"/>
        </w:rPr>
        <w:t>M10 — Агроекология и климат (член 28)</w:t>
      </w:r>
      <w:bookmarkEnd w:id="305"/>
      <w:bookmarkEnd w:id="30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154 010 002,00 (P4)</w:t>
            </w:r>
          </w:p>
          <w:p>
            <w:pPr>
              <w:jc w:val="right"/>
              <w:rPr>
                <w:b w:val="0"/>
                <w:sz w:val="16"/>
              </w:rPr>
            </w:pPr>
            <w:r>
              <w:rPr>
                <w:b w:val="0"/>
                <w:sz w:val="16"/>
              </w:rPr>
              <w:t>13 500 000,00 (5D)</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167 510 002,00</w:t>
            </w:r>
          </w:p>
        </w:tc>
      </w:tr>
    </w:tbl>
    <w:p>
      <w:pPr>
        <w:pStyle w:val="Heading3"/>
        <w:jc w:val="left"/>
        <w:rPr>
          <w:b w:val="0"/>
        </w:rPr>
      </w:pPr>
      <w:r>
        <w:rPr>
          <w:b/>
        </w:rPr>
        <w:br w:type="page"/>
      </w:r>
      <w:bookmarkStart w:id="306" w:name="_Toc256000153"/>
      <w:bookmarkStart w:id="307" w:name="_Toc256000416"/>
      <w:r>
        <w:rPr>
          <w:b w:val="0"/>
        </w:rPr>
        <w:t>М11 — Биологично земеделие (член 29)</w:t>
      </w:r>
      <w:bookmarkEnd w:id="307"/>
      <w:bookmarkEnd w:id="30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113 695 079,00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113 695 079,00</w:t>
            </w:r>
          </w:p>
        </w:tc>
      </w:tr>
    </w:tbl>
    <w:p>
      <w:pPr>
        <w:pStyle w:val="Heading3"/>
        <w:jc w:val="left"/>
        <w:rPr>
          <w:b w:val="0"/>
        </w:rPr>
      </w:pPr>
      <w:r>
        <w:rPr>
          <w:b/>
        </w:rPr>
        <w:br w:type="page"/>
      </w:r>
      <w:bookmarkStart w:id="308" w:name="_Toc256000154"/>
      <w:bookmarkStart w:id="309" w:name="_Toc256000417"/>
      <w:r>
        <w:rPr>
          <w:b w:val="0"/>
        </w:rPr>
        <w:t>M12 — Плащания по „Натура 2000“ и Рамковата директива за водите (член 30)</w:t>
      </w:r>
      <w:bookmarkEnd w:id="309"/>
      <w:bookmarkEnd w:id="30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104 757 028,00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104 757 028,00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0515"/>
        <w:gridCol w:w="350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310" w:name="_Toc256000155"/>
      <w:bookmarkStart w:id="311" w:name="_Toc256000418"/>
      <w:r>
        <w:rPr>
          <w:b w:val="0"/>
        </w:rPr>
        <w:t>М13 — Плащания за райони, изправени пред природни или други специфични ограничения (член 31)</w:t>
      </w:r>
      <w:bookmarkEnd w:id="311"/>
      <w:bookmarkEnd w:id="31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206 703 506,00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206 703 506,00</w:t>
            </w:r>
          </w:p>
        </w:tc>
      </w:tr>
    </w:tbl>
    <w:p>
      <w:pPr>
        <w:pStyle w:val="Heading3"/>
        <w:jc w:val="left"/>
        <w:rPr>
          <w:b w:val="0"/>
        </w:rPr>
      </w:pPr>
      <w:r>
        <w:rPr>
          <w:b/>
        </w:rPr>
        <w:br w:type="page"/>
      </w:r>
      <w:bookmarkStart w:id="312" w:name="_Toc256000156"/>
      <w:bookmarkStart w:id="313" w:name="_Toc256000419"/>
      <w:r>
        <w:rPr>
          <w:b w:val="0"/>
        </w:rPr>
        <w:t>M14 — Хуманно отношение към животните (член 33)</w:t>
      </w:r>
      <w:bookmarkEnd w:id="313"/>
      <w:bookmarkEnd w:id="31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48 330 584,00 (3A)</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48 330 584,00</w:t>
            </w:r>
          </w:p>
        </w:tc>
      </w:tr>
    </w:tbl>
    <w:p>
      <w:pPr>
        <w:pStyle w:val="Heading3"/>
        <w:jc w:val="left"/>
        <w:rPr>
          <w:b w:val="0"/>
        </w:rPr>
      </w:pPr>
      <w:r>
        <w:rPr>
          <w:b/>
        </w:rPr>
        <w:br w:type="page"/>
      </w:r>
      <w:bookmarkStart w:id="314" w:name="_Toc256000157"/>
      <w:bookmarkStart w:id="315" w:name="_Toc256000420"/>
      <w:r>
        <w:rPr>
          <w:b w:val="0"/>
        </w:rPr>
        <w:t>М15 — Екологични услуги и услуги във връзка с климата в горското стопанство и опазване на горите (член 34)</w:t>
      </w:r>
      <w:bookmarkEnd w:id="315"/>
      <w:bookmarkEnd w:id="31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6"/>
        <w:gridCol w:w="1630"/>
        <w:gridCol w:w="1664"/>
        <w:gridCol w:w="1668"/>
        <w:gridCol w:w="1900"/>
        <w:gridCol w:w="1900"/>
        <w:gridCol w:w="1951"/>
        <w:gridCol w:w="166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750" w:type="pct"/>
            <w:shd w:val="clear" w:color="auto" w:fill="FFFFFF"/>
            <w:noWrap w:val="0"/>
            <w:tcMar>
              <w:top w:w="60" w:type="dxa"/>
            </w:tcMar>
            <w:vAlign w:val="top"/>
          </w:tcPr>
          <w:p>
            <w:pPr>
              <w:jc w:val="right"/>
              <w:rPr>
                <w:b w:val="0"/>
                <w:sz w:val="16"/>
              </w:rPr>
            </w:pPr>
            <w:r>
              <w:rPr>
                <w:b w:val="0"/>
                <w:sz w:val="16"/>
              </w:rPr>
              <w:t>75%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6 562 500,00 (P4)</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6 562 500,00</w:t>
            </w:r>
          </w:p>
        </w:tc>
      </w:tr>
    </w:tbl>
    <w:p>
      <w:pPr>
        <w:pStyle w:val="Heading3"/>
        <w:jc w:val="left"/>
        <w:rPr>
          <w:b w:val="0"/>
        </w:rPr>
      </w:pPr>
      <w:r>
        <w:rPr>
          <w:b/>
        </w:rPr>
        <w:br w:type="page"/>
      </w:r>
      <w:bookmarkStart w:id="316" w:name="_Toc256000158"/>
      <w:bookmarkStart w:id="317" w:name="_Toc256000421"/>
      <w:r>
        <w:rPr>
          <w:b w:val="0"/>
        </w:rPr>
        <w:t>M16 — Сътрудничество (член 35)</w:t>
      </w:r>
      <w:bookmarkEnd w:id="317"/>
      <w:bookmarkEnd w:id="3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7 000 000,00 (2A)</w:t>
            </w:r>
          </w:p>
          <w:p>
            <w:pPr>
              <w:jc w:val="right"/>
              <w:rPr>
                <w:b w:val="0"/>
                <w:sz w:val="16"/>
              </w:rPr>
            </w:pPr>
            <w:r>
              <w:rPr>
                <w:b w:val="0"/>
                <w:sz w:val="16"/>
              </w:rPr>
              <w:t>8 600 000,00 (3A)</w:t>
            </w:r>
          </w:p>
          <w:p>
            <w:pPr>
              <w:jc w:val="right"/>
              <w:rPr>
                <w:b w:val="0"/>
                <w:sz w:val="16"/>
              </w:rPr>
            </w:pPr>
            <w:r>
              <w:rPr>
                <w:b w:val="0"/>
                <w:sz w:val="16"/>
              </w:rPr>
              <w:t>8 716 351,00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29 316 351,00</w:t>
            </w:r>
          </w:p>
        </w:tc>
      </w:tr>
    </w:tbl>
    <w:p>
      <w:pPr>
        <w:pStyle w:val="Heading3"/>
        <w:jc w:val="left"/>
        <w:rPr>
          <w:b w:val="0"/>
        </w:rPr>
      </w:pPr>
      <w:r>
        <w:rPr>
          <w:b/>
        </w:rPr>
        <w:br w:type="page"/>
      </w:r>
      <w:bookmarkStart w:id="318" w:name="_Toc256000159"/>
      <w:bookmarkStart w:id="319" w:name="_Toc256000422"/>
      <w:r>
        <w:rPr>
          <w:b w:val="0"/>
        </w:rPr>
        <w:t>M19 — Подкрепа за местно развитие по LEADER (ВОМР — водено от общностите местно развитие) (член 35 от Регламент (ЕС) № 1303/2013)</w:t>
      </w:r>
      <w:bookmarkEnd w:id="319"/>
      <w:bookmarkEnd w:id="3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118 335 849,00 (6B)</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118 335 849,00</w:t>
            </w:r>
          </w:p>
        </w:tc>
      </w:tr>
    </w:tbl>
    <w:p>
      <w:pPr>
        <w:pStyle w:val="Heading3"/>
        <w:jc w:val="left"/>
        <w:rPr>
          <w:b w:val="0"/>
        </w:rPr>
      </w:pPr>
      <w:r>
        <w:rPr>
          <w:b/>
        </w:rPr>
        <w:br w:type="page"/>
      </w:r>
      <w:bookmarkStart w:id="320" w:name="_Toc256000160"/>
      <w:bookmarkStart w:id="321" w:name="_Toc256000423"/>
      <w:r>
        <w:rPr>
          <w:b w:val="0"/>
        </w:rPr>
        <w:t>М20 — Техническа помощ държави членки (членове 51 — 54)</w:t>
      </w:r>
      <w:bookmarkEnd w:id="321"/>
      <w:bookmarkEnd w:id="32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627"/>
        <w:gridCol w:w="1624"/>
        <w:gridCol w:w="1665"/>
        <w:gridCol w:w="1670"/>
        <w:gridCol w:w="1901"/>
        <w:gridCol w:w="1901"/>
        <w:gridCol w:w="1951"/>
        <w:gridCol w:w="166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50" w:type="pct"/>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от ЕЗФРСР за периода 2014 — 2020 г. (%)</w:t>
            </w:r>
          </w:p>
        </w:tc>
        <w:tc>
          <w:tcPr>
            <w:tcW w:w="750" w:type="pct"/>
            <w:shd w:val="clear" w:color="auto" w:fill="C0C0C0"/>
            <w:noWrap w:val="0"/>
            <w:tcMar>
              <w:top w:w="60" w:type="dxa"/>
            </w:tcMar>
            <w:vAlign w:val="top"/>
          </w:tcPr>
          <w:p>
            <w:pPr>
              <w:jc w:val="center"/>
              <w:rPr>
                <w:b/>
                <w:sz w:val="20"/>
              </w:rPr>
            </w:pPr>
            <w:r>
              <w:rPr>
                <w:b/>
                <w:sz w:val="20"/>
              </w:rPr>
              <w:t>Приложим процент на участието на ЕЗФРСР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за периода 2014—2020 г. (%)</w:t>
            </w:r>
          </w:p>
        </w:tc>
        <w:tc>
          <w:tcPr>
            <w:tcW w:w="750" w:type="pct"/>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ж) от Регламент (ЕС) № 1305/2013, за периода 2014—2020 г. (%)</w:t>
            </w:r>
          </w:p>
        </w:tc>
        <w:tc>
          <w:tcPr>
            <w:tcW w:w="750" w:type="pct"/>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през периода 2014—2020 г. (в евро)</w:t>
            </w:r>
          </w:p>
        </w:tc>
        <w:tc>
          <w:tcPr>
            <w:tcW w:w="750" w:type="pct"/>
            <w:shd w:val="clear" w:color="auto" w:fill="C0C0C0"/>
            <w:noWrap w:val="0"/>
            <w:tcMar>
              <w:top w:w="60" w:type="dxa"/>
            </w:tcMar>
            <w:vAlign w:val="top"/>
          </w:tcPr>
          <w:p>
            <w:pPr>
              <w:jc w:val="center"/>
              <w:rPr>
                <w:b w:val="0"/>
                <w:sz w:val="20"/>
              </w:rPr>
            </w:pPr>
            <w:r>
              <w:rPr>
                <w:b/>
                <w:sz w:val="20"/>
              </w:rPr>
              <w:t>Общо планирано участие от Съюза 2014 — 2020 г. (в евро)</w:t>
            </w:r>
          </w:p>
        </w:tc>
      </w:tr>
      <w:tr>
        <w:tblPrEx>
          <w:tblW w:w="5000" w:type="pct"/>
          <w:tblCellMar>
            <w:left w:w="108" w:type="dxa"/>
            <w:right w:w="108" w:type="dxa"/>
          </w:tblCellMar>
        </w:tblPrEx>
        <w:tc>
          <w:tcPr>
            <w:tcW w:w="750" w:type="pct"/>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750" w:type="pct"/>
            <w:shd w:val="clear" w:color="auto" w:fill="FFFFFF"/>
            <w:noWrap w:val="0"/>
            <w:tcMar>
              <w:top w:w="60" w:type="dxa"/>
            </w:tcMar>
            <w:vAlign w:val="top"/>
          </w:tcPr>
          <w:p>
            <w:pPr>
              <w:jc w:val="left"/>
              <w:rPr>
                <w:b w:val="0"/>
                <w:sz w:val="16"/>
              </w:rPr>
            </w:pPr>
            <w:r>
              <w:rPr>
                <w:b w:val="0"/>
                <w:sz w:val="16"/>
              </w:rPr>
              <w:t>Main</w:t>
            </w:r>
          </w:p>
        </w:tc>
        <w:tc>
          <w:tcPr>
            <w:tcW w:w="750" w:type="pct"/>
            <w:shd w:val="clear" w:color="auto" w:fill="FFFFFF"/>
            <w:noWrap w:val="0"/>
            <w:tcMar>
              <w:top w:w="60" w:type="dxa"/>
            </w:tcMar>
            <w:vAlign w:val="top"/>
          </w:tcPr>
          <w:p>
            <w:pPr>
              <w:jc w:val="right"/>
              <w:rPr>
                <w:b w:val="0"/>
                <w:sz w:val="16"/>
              </w:rPr>
            </w:pPr>
            <w:r>
              <w:rPr>
                <w:b w:val="0"/>
                <w:sz w:val="16"/>
              </w:rPr>
              <w:t>85%</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37 493 274,00</w:t>
            </w:r>
          </w:p>
        </w:tc>
      </w:tr>
      <w:tr>
        <w:tblPrEx>
          <w:tblW w:w="5000" w:type="pct"/>
          <w:tblCellMar>
            <w:left w:w="108" w:type="dxa"/>
            <w:right w:w="108" w:type="dxa"/>
          </w:tblCellMar>
        </w:tblPrEx>
        <w:tc>
          <w:tcPr>
            <w:tcW w:w="750" w:type="pct"/>
            <w:vMerge/>
            <w:shd w:val="clear" w:color="auto" w:fill="FFFFFF"/>
            <w:noWrap w:val="0"/>
            <w:tcMar>
              <w:top w:w="60" w:type="dxa"/>
            </w:tcMar>
            <w:vAlign w:val="top"/>
          </w:tcPr>
          <w:p>
            <w:pPr>
              <w:jc w:val="left"/>
              <w:rPr>
                <w:b w:val="0"/>
                <w:sz w:val="16"/>
              </w:rPr>
            </w:pPr>
          </w:p>
        </w:tc>
        <w:tc>
          <w:tcPr>
            <w:tcW w:w="750" w:type="pct"/>
            <w:shd w:val="clear" w:color="auto" w:fill="FFFFFF"/>
            <w:noWrap w:val="0"/>
            <w:tcMar>
              <w:top w:w="60" w:type="dxa"/>
            </w:tcMar>
            <w:vAlign w:val="top"/>
          </w:tcPr>
          <w:p>
            <w:pPr>
              <w:jc w:val="left"/>
              <w:rPr>
                <w:b w:val="0"/>
                <w:sz w:val="16"/>
              </w:rPr>
            </w:pPr>
            <w:r>
              <w:rPr>
                <w:b w:val="0"/>
                <w:sz w:val="16"/>
              </w:rPr>
              <w:t>Член 59, параграф 4, буква д) от Регламент (EС)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750" w:type="pct"/>
            <w:shd w:val="clear" w:color="auto" w:fill="FFFFFF"/>
            <w:noWrap w:val="0"/>
            <w:tcMar>
              <w:top w:w="60" w:type="dxa"/>
            </w:tcMar>
            <w:vAlign w:val="top"/>
          </w:tcPr>
          <w:p>
            <w:pPr>
              <w:jc w:val="right"/>
              <w:rPr>
                <w:b w:val="0"/>
                <w:sz w:val="16"/>
              </w:rPr>
            </w:pPr>
            <w:r>
              <w:rPr>
                <w:b w:val="0"/>
                <w:sz w:val="16"/>
              </w:rPr>
              <w:t>90%</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750" w:type="pct"/>
            <w:gridSpan w:val="6"/>
            <w:shd w:val="clear" w:color="auto" w:fill="C0C0C0"/>
            <w:noWrap w:val="0"/>
            <w:tcMar>
              <w:top w:w="60" w:type="dxa"/>
            </w:tcMar>
            <w:vAlign w:val="top"/>
          </w:tcPr>
          <w:p>
            <w:pPr>
              <w:jc w:val="center"/>
              <w:rPr>
                <w:b w:val="0"/>
                <w:sz w:val="16"/>
              </w:rPr>
            </w:pPr>
            <w:r>
              <w:rPr>
                <w:b w:val="0"/>
                <w:sz w:val="16"/>
              </w:rPr>
              <w:t>Total</w:t>
            </w:r>
          </w:p>
        </w:tc>
        <w:tc>
          <w:tcPr>
            <w:tcW w:w="750" w:type="pct"/>
            <w:shd w:val="clear" w:color="auto" w:fill="C0C0C0"/>
            <w:noWrap w:val="0"/>
            <w:tcMar>
              <w:top w:w="60" w:type="dxa"/>
            </w:tcMar>
            <w:vAlign w:val="top"/>
          </w:tcPr>
          <w:p>
            <w:pPr>
              <w:jc w:val="right"/>
              <w:rPr>
                <w:b w:val="0"/>
                <w:sz w:val="16"/>
              </w:rPr>
            </w:pPr>
            <w:r>
              <w:rPr>
                <w:b w:val="0"/>
                <w:sz w:val="16"/>
              </w:rPr>
              <w:t>0,00</w:t>
            </w:r>
          </w:p>
        </w:tc>
        <w:tc>
          <w:tcPr>
            <w:tcW w:w="750" w:type="pct"/>
            <w:shd w:val="clear" w:color="auto" w:fill="C0C0C0"/>
            <w:noWrap w:val="0"/>
            <w:tcMar>
              <w:top w:w="60" w:type="dxa"/>
            </w:tcMar>
            <w:vAlign w:val="top"/>
          </w:tcPr>
          <w:p>
            <w:pPr>
              <w:jc w:val="right"/>
              <w:rPr>
                <w:b w:val="0"/>
                <w:sz w:val="16"/>
              </w:rPr>
            </w:pPr>
            <w:r>
              <w:rPr>
                <w:b w:val="0"/>
                <w:sz w:val="16"/>
              </w:rPr>
              <w:t>37 493 274,00</w:t>
            </w:r>
          </w:p>
        </w:tc>
      </w:tr>
    </w:tbl>
    <w:p>
      <w:pPr>
        <w:rPr>
          <w:b/>
        </w:rPr>
        <w:sectPr>
          <w:pgSz w:w="15840" w:h="12240" w:orient="landscape"/>
          <w:pgMar w:top="900" w:right="900" w:bottom="900" w:left="900" w:header="720" w:footer="720"/>
          <w:cols w:space="720"/>
        </w:sectPr>
      </w:pPr>
    </w:p>
    <w:p>
      <w:pPr>
        <w:pStyle w:val="Heading2"/>
      </w:pPr>
      <w:bookmarkStart w:id="322" w:name="_Toc256000161"/>
      <w:bookmarkStart w:id="323" w:name="_Toc256000424"/>
      <w:r>
        <w:t>Ориентировъчна разбивка по мярка за всяка подпрограма</w:t>
      </w:r>
      <w:bookmarkEnd w:id="323"/>
      <w:bookmarkEnd w:id="3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608"/>
        <w:gridCol w:w="5608"/>
        <w:gridCol w:w="280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750" w:type="pct"/>
            <w:shd w:val="clear" w:color="auto" w:fill="C0C0C0"/>
            <w:noWrap w:val="0"/>
            <w:tcMar>
              <w:top w:w="60" w:type="dxa"/>
            </w:tcMar>
            <w:vAlign w:val="top"/>
          </w:tcPr>
          <w:p>
            <w:pPr>
              <w:jc w:val="center"/>
              <w:rPr>
                <w:b w:val="0"/>
                <w:sz w:val="16"/>
              </w:rPr>
            </w:pPr>
            <w:r>
              <w:rPr>
                <w:b w:val="0"/>
                <w:sz w:val="16"/>
              </w:rPr>
              <w:t>Мярка</w:t>
            </w:r>
          </w:p>
        </w:tc>
        <w:tc>
          <w:tcPr>
            <w:tcW w:w="750" w:type="pct"/>
            <w:shd w:val="clear" w:color="auto" w:fill="C0C0C0"/>
            <w:noWrap w:val="0"/>
            <w:tcMar>
              <w:top w:w="60" w:type="dxa"/>
            </w:tcMar>
            <w:vAlign w:val="top"/>
          </w:tcPr>
          <w:p>
            <w:pPr>
              <w:jc w:val="center"/>
              <w:rPr>
                <w:b w:val="0"/>
                <w:sz w:val="16"/>
              </w:rPr>
            </w:pPr>
            <w:r>
              <w:rPr>
                <w:b w:val="0"/>
                <w:sz w:val="16"/>
              </w:rPr>
              <w:t>Общо планирано участие от Съюза за периода 2014—2020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13 291 922,00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23 872 557,00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56 272 416,00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324" w:name="_Toc256000162"/>
      <w:bookmarkStart w:id="325" w:name="_Toc256000425"/>
      <w:r>
        <w:t>План на показателите</w:t>
      </w:r>
      <w:bookmarkEnd w:id="325"/>
      <w:bookmarkEnd w:id="324"/>
    </w:p>
    <w:p>
      <w:pPr>
        <w:pStyle w:val="Heading2"/>
      </w:pPr>
      <w:bookmarkStart w:id="326" w:name="_Toc256000163"/>
      <w:bookmarkStart w:id="327" w:name="_Toc256000426"/>
      <w:r>
        <w:t>План на показателите</w:t>
      </w:r>
      <w:bookmarkEnd w:id="327"/>
      <w:bookmarkEnd w:id="326"/>
    </w:p>
    <w:p>
      <w:pPr>
        <w:pStyle w:val="Heading3"/>
        <w:jc w:val="left"/>
        <w:rPr>
          <w:b w:val="0"/>
        </w:rPr>
      </w:pPr>
      <w:bookmarkStart w:id="328" w:name="_Toc256000164"/>
      <w:bookmarkStart w:id="329" w:name="_Toc256000427"/>
      <w:r>
        <w:rPr>
          <w:b w:val="0"/>
        </w:rPr>
        <w:t>P1: Стимулиране на трансфера на знания и иновациите в областта на селското и горското стопанство и селските райони</w:t>
      </w:r>
      <w:bookmarkEnd w:id="329"/>
      <w:bookmarkEnd w:id="328"/>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2,67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2 917 848 203,00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77 860 406,80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25 394 595,00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19 892 087,20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32 573 724,50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1000" w:type="pct"/>
            <w:shd w:val="clear" w:color="auto" w:fill="FFFFFF"/>
            <w:noWrap w:val="0"/>
            <w:tcMar>
              <w:top w:w="60" w:type="dxa"/>
            </w:tcMar>
            <w:vAlign w:val="center"/>
          </w:tcPr>
          <w:p>
            <w:pPr>
              <w:spacing w:before="20" w:after="20"/>
              <w:jc w:val="right"/>
              <w:rPr>
                <w:b w:val="0"/>
                <w:sz w:val="16"/>
              </w:rPr>
            </w:pPr>
            <w:r>
              <w:rPr>
                <w:b w:val="0"/>
                <w:sz w:val="16"/>
              </w:rPr>
              <w:t>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4 800,00</w:t>
            </w:r>
          </w:p>
        </w:tc>
      </w:tr>
    </w:tbl>
    <w:p>
      <w:pPr>
        <w:sectPr>
          <w:pgMar w:top="900" w:right="900" w:bottom="900" w:left="900" w:header="720" w:footer="720"/>
          <w:cols w:space="720"/>
        </w:sectPr>
      </w:pPr>
    </w:p>
    <w:p>
      <w:pPr>
        <w:pStyle w:val="Heading3"/>
        <w:jc w:val="left"/>
        <w:rPr>
          <w:b w:val="0"/>
        </w:rPr>
      </w:pPr>
      <w:bookmarkStart w:id="330" w:name="_Toc256000165"/>
      <w:bookmarkStart w:id="331" w:name="_Toc256000428"/>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331"/>
      <w:bookmarkEnd w:id="330"/>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0,94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8 030,00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13 848 529,40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1000" w:type="pct"/>
            <w:shd w:val="clear" w:color="auto" w:fill="FFFFFF"/>
            <w:noWrap w:val="0"/>
            <w:tcMar>
              <w:top w:w="60" w:type="dxa"/>
            </w:tcMar>
            <w:vAlign w:val="center"/>
          </w:tcPr>
          <w:p>
            <w:pPr>
              <w:spacing w:before="20" w:after="20"/>
              <w:jc w:val="right"/>
              <w:rPr>
                <w:b w:val="0"/>
                <w:sz w:val="16"/>
              </w:rPr>
            </w:pPr>
            <w:r>
              <w:rPr>
                <w:b w:val="0"/>
                <w:sz w:val="16"/>
              </w:rPr>
              <w:t>3 500,00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1000" w:type="pct"/>
            <w:shd w:val="clear" w:color="auto" w:fill="FFFFFF"/>
            <w:noWrap w:val="0"/>
            <w:tcMar>
              <w:top w:w="60" w:type="dxa"/>
            </w:tcMar>
            <w:vAlign w:val="center"/>
          </w:tcPr>
          <w:p>
            <w:pPr>
              <w:spacing w:before="20" w:after="20"/>
              <w:jc w:val="right"/>
              <w:rPr>
                <w:b w:val="0"/>
                <w:sz w:val="16"/>
              </w:rPr>
            </w:pPr>
            <w:r>
              <w:rPr>
                <w:b w:val="0"/>
                <w:sz w:val="16"/>
              </w:rPr>
              <w:t>29 965 859,90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239 255 663,30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164 719 395,70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1000" w:type="pct"/>
            <w:shd w:val="clear" w:color="auto" w:fill="FFFFFF"/>
            <w:noWrap w:val="0"/>
            <w:tcMar>
              <w:top w:w="60" w:type="dxa"/>
            </w:tcMar>
            <w:vAlign w:val="center"/>
          </w:tcPr>
          <w:p>
            <w:pPr>
              <w:spacing w:before="20" w:after="20"/>
              <w:jc w:val="right"/>
              <w:rPr>
                <w:b w:val="0"/>
                <w:sz w:val="16"/>
              </w:rPr>
            </w:pPr>
            <w:r>
              <w:rPr>
                <w:b w:val="0"/>
                <w:sz w:val="16"/>
              </w:rPr>
              <w:t>4 060,00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60 945 294,10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7 777 777,80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0,83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900,00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1 351 714,00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1000" w:type="pct"/>
            <w:shd w:val="clear" w:color="auto" w:fill="FFFFFF"/>
            <w:noWrap w:val="0"/>
            <w:tcMar>
              <w:top w:w="60" w:type="dxa"/>
            </w:tcMar>
            <w:vAlign w:val="center"/>
          </w:tcPr>
          <w:p>
            <w:pPr>
              <w:spacing w:before="20" w:after="20"/>
              <w:jc w:val="right"/>
              <w:rPr>
                <w:b w:val="0"/>
                <w:sz w:val="16"/>
              </w:rPr>
            </w:pPr>
            <w:r>
              <w:rPr>
                <w:b w:val="0"/>
                <w:sz w:val="16"/>
              </w:rPr>
              <w:t>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74 215 686,30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44 529 411,80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1000" w:type="pct"/>
            <w:shd w:val="clear" w:color="auto" w:fill="FFFFFF"/>
            <w:noWrap w:val="0"/>
            <w:tcMar>
              <w:top w:w="60" w:type="dxa"/>
            </w:tcMar>
            <w:vAlign w:val="center"/>
          </w:tcPr>
          <w:p>
            <w:pPr>
              <w:spacing w:before="20" w:after="20"/>
              <w:jc w:val="right"/>
              <w:rPr>
                <w:b w:val="0"/>
                <w:sz w:val="16"/>
              </w:rPr>
            </w:pPr>
            <w:r>
              <w:rPr>
                <w:b w:val="0"/>
                <w:sz w:val="16"/>
              </w:rPr>
              <w:t>3 060,00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76 513 021,10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bl>
    <w:p>
      <w:pPr>
        <w:sectPr>
          <w:pgMar w:top="900" w:right="900" w:bottom="900" w:left="900" w:header="720" w:footer="720"/>
          <w:cols w:space="720"/>
        </w:sectPr>
      </w:pPr>
    </w:p>
    <w:p>
      <w:pPr>
        <w:pStyle w:val="Heading3"/>
        <w:jc w:val="left"/>
        <w:rPr>
          <w:b w:val="0"/>
        </w:rPr>
      </w:pPr>
      <w:bookmarkStart w:id="332" w:name="_Toc256000166"/>
      <w:bookmarkStart w:id="333" w:name="_Toc256000429"/>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333"/>
      <w:bookmarkEnd w:id="332"/>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0,12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3 150,00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984 000,00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1000" w:type="pct"/>
            <w:shd w:val="clear" w:color="auto" w:fill="FFFFFF"/>
            <w:noWrap w:val="0"/>
            <w:tcMar>
              <w:top w:w="60" w:type="dxa"/>
            </w:tcMar>
            <w:vAlign w:val="center"/>
          </w:tcPr>
          <w:p>
            <w:pPr>
              <w:spacing w:before="20" w:after="20"/>
              <w:jc w:val="right"/>
              <w:rPr>
                <w:b w:val="0"/>
                <w:sz w:val="16"/>
              </w:rPr>
            </w:pPr>
            <w:r>
              <w:rPr>
                <w:b w:val="0"/>
                <w:sz w:val="16"/>
              </w:rPr>
              <w:t>450,00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468 347 358,80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235 577 947,10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5 257 548,00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1000" w:type="pct"/>
            <w:shd w:val="clear" w:color="auto" w:fill="FFFFFF"/>
            <w:noWrap w:val="0"/>
            <w:tcMar>
              <w:top w:w="60" w:type="dxa"/>
            </w:tcMar>
            <w:vAlign w:val="center"/>
          </w:tcPr>
          <w:p>
            <w:pPr>
              <w:spacing w:before="20" w:after="20"/>
              <w:jc w:val="right"/>
              <w:rPr>
                <w:b w:val="0"/>
                <w:sz w:val="16"/>
              </w:rPr>
            </w:pPr>
            <w:r>
              <w:rPr>
                <w:b w:val="0"/>
                <w:sz w:val="16"/>
              </w:rPr>
              <w:t>170,00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7 795 946,60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1000" w:type="pct"/>
            <w:shd w:val="clear" w:color="auto" w:fill="FFFFFF"/>
            <w:noWrap w:val="0"/>
            <w:tcMar>
              <w:top w:w="60" w:type="dxa"/>
            </w:tcMar>
            <w:vAlign w:val="center"/>
          </w:tcPr>
          <w:p>
            <w:pPr>
              <w:spacing w:before="20" w:after="20"/>
              <w:jc w:val="right"/>
              <w:rPr>
                <w:b w:val="0"/>
                <w:sz w:val="16"/>
              </w:rPr>
            </w:pPr>
            <w:r>
              <w:rPr>
                <w:b w:val="0"/>
                <w:sz w:val="16"/>
              </w:rPr>
              <w:t>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56 859 510,50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60" w:type="dxa"/>
            </w:tcMar>
            <w:vAlign w:val="center"/>
          </w:tcPr>
          <w:p>
            <w:pPr>
              <w:spacing w:before="20" w:after="20"/>
              <w:jc w:val="right"/>
              <w:rPr>
                <w:b w:val="0"/>
                <w:sz w:val="16"/>
              </w:rPr>
            </w:pPr>
            <w:r>
              <w:rPr>
                <w:b w:val="0"/>
                <w:sz w:val="16"/>
              </w:rPr>
              <w:t>280,00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9 555 555,60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150 000,00</w:t>
            </w:r>
          </w:p>
        </w:tc>
      </w:tr>
    </w:tbl>
    <w:p>
      <w:pPr>
        <w:sectPr>
          <w:pgMar w:top="900" w:right="900" w:bottom="900" w:left="900" w:header="720" w:footer="720"/>
          <w:cols w:space="720"/>
        </w:sectPr>
      </w:pPr>
    </w:p>
    <w:p>
      <w:pPr>
        <w:pStyle w:val="Heading3"/>
        <w:jc w:val="left"/>
        <w:rPr>
          <w:b w:val="0"/>
        </w:rPr>
      </w:pPr>
      <w:bookmarkStart w:id="334" w:name="_Toc256000167"/>
      <w:bookmarkStart w:id="335" w:name="_Toc256000430"/>
      <w:r>
        <w:rPr>
          <w:b w:val="0"/>
        </w:rPr>
        <w:t>P4: Възстановяване, опазване и укрепване на екосистемите, свързани със селското и горското стопанство</w:t>
      </w:r>
      <w:bookmarkEnd w:id="335"/>
      <w:bookmarkEnd w:id="334"/>
    </w:p>
    <w:p>
      <w:pPr>
        <w:rPr>
          <w:b/>
          <w:i/>
        </w:rPr>
      </w:pPr>
      <w:r>
        <w:rPr>
          <w:b/>
          <w:i/>
        </w:rPr>
        <w:t>Селско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5 900 000,00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1 725,00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1 255 318,00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1000" w:type="pct"/>
            <w:shd w:val="clear" w:color="auto" w:fill="FFFFFF"/>
            <w:noWrap w:val="0"/>
            <w:tcMar>
              <w:top w:w="60" w:type="dxa"/>
            </w:tcMar>
            <w:vAlign w:val="center"/>
          </w:tcPr>
          <w:p>
            <w:pPr>
              <w:spacing w:before="20" w:after="20"/>
              <w:jc w:val="right"/>
              <w:rPr>
                <w:b w:val="0"/>
                <w:sz w:val="16"/>
              </w:rPr>
            </w:pPr>
            <w:r>
              <w:rPr>
                <w:b w:val="0"/>
                <w:sz w:val="16"/>
              </w:rPr>
              <w:t>936,00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213 640 199,00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131 490 786,00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205 346 669,00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1000" w:type="pct"/>
            <w:shd w:val="clear" w:color="auto" w:fill="FFFFFF"/>
            <w:noWrap w:val="0"/>
            <w:tcMar>
              <w:top w:w="60" w:type="dxa"/>
            </w:tcMar>
            <w:vAlign w:val="center"/>
          </w:tcPr>
          <w:p>
            <w:pPr>
              <w:spacing w:before="20" w:after="20"/>
              <w:jc w:val="right"/>
              <w:rPr>
                <w:b w:val="0"/>
                <w:sz w:val="16"/>
              </w:rPr>
            </w:pPr>
            <w:r>
              <w:rPr>
                <w:b w:val="0"/>
                <w:sz w:val="16"/>
              </w:rPr>
              <w:t>23 000,00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151 593 438,70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1000" w:type="pct"/>
            <w:shd w:val="clear" w:color="auto" w:fill="FFFFFF"/>
            <w:noWrap w:val="0"/>
            <w:tcMar>
              <w:top w:w="60" w:type="dxa"/>
            </w:tcMar>
            <w:vAlign w:val="center"/>
          </w:tcPr>
          <w:p>
            <w:pPr>
              <w:spacing w:before="20" w:after="20"/>
              <w:jc w:val="right"/>
              <w:rPr>
                <w:b w:val="0"/>
                <w:sz w:val="16"/>
              </w:rPr>
            </w:pPr>
            <w:r>
              <w:rPr>
                <w:b w:val="0"/>
                <w:sz w:val="16"/>
              </w:rPr>
              <w:t>385 000,00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1000" w:type="pct"/>
            <w:shd w:val="clear" w:color="auto" w:fill="FFFFFF"/>
            <w:noWrap w:val="0"/>
            <w:tcMar>
              <w:top w:w="60" w:type="dxa"/>
            </w:tcMar>
            <w:vAlign w:val="center"/>
          </w:tcPr>
          <w:p>
            <w:pPr>
              <w:spacing w:before="20" w:after="20"/>
              <w:jc w:val="right"/>
              <w:rPr>
                <w:b w:val="0"/>
                <w:sz w:val="16"/>
              </w:rPr>
            </w:pPr>
            <w:r>
              <w:rPr>
                <w:b w:val="0"/>
                <w:sz w:val="16"/>
              </w:rPr>
              <w:t>60 000,00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137 805 010,60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1000" w:type="pct"/>
            <w:shd w:val="clear" w:color="auto" w:fill="FFFFFF"/>
            <w:noWrap w:val="0"/>
            <w:tcMar>
              <w:top w:w="60" w:type="dxa"/>
            </w:tcMar>
            <w:vAlign w:val="center"/>
          </w:tcPr>
          <w:p>
            <w:pPr>
              <w:spacing w:before="20" w:after="20"/>
              <w:jc w:val="right"/>
              <w:rPr>
                <w:b w:val="0"/>
                <w:sz w:val="16"/>
              </w:rPr>
            </w:pPr>
            <w:r>
              <w:rPr>
                <w:b w:val="0"/>
                <w:sz w:val="16"/>
              </w:rPr>
              <w:t>310 000,00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1000" w:type="pct"/>
            <w:shd w:val="clear" w:color="auto" w:fill="FFFFFF"/>
            <w:noWrap w:val="0"/>
            <w:tcMar>
              <w:top w:w="60" w:type="dxa"/>
            </w:tcMar>
            <w:vAlign w:val="center"/>
          </w:tcPr>
          <w:p>
            <w:pPr>
              <w:spacing w:before="20" w:after="20"/>
              <w:jc w:val="right"/>
              <w:rPr>
                <w:b w:val="0"/>
                <w:sz w:val="16"/>
              </w:rPr>
            </w:pPr>
            <w:r>
              <w:rPr>
                <w:b w:val="0"/>
                <w:sz w:val="16"/>
              </w:rPr>
              <w:t>220 000,00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275 604 674,70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9 684 835,60</w:t>
            </w:r>
          </w:p>
        </w:tc>
      </w:tr>
    </w:tbl>
    <w:p>
      <w:pPr>
        <w:rPr>
          <w:b/>
          <w:i/>
        </w:rPr>
      </w:pPr>
      <w:r>
        <w:rPr>
          <w:b/>
          <w:i/>
        </w:rPr>
        <w:t>Горско стопанство</w:t>
      </w: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17 059 596,50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1000" w:type="pct"/>
            <w:shd w:val="clear" w:color="auto" w:fill="FFFFFF"/>
            <w:noWrap w:val="0"/>
            <w:tcMar>
              <w:top w:w="60" w:type="dxa"/>
            </w:tcMar>
            <w:vAlign w:val="center"/>
          </w:tcPr>
          <w:p>
            <w:pPr>
              <w:spacing w:before="20" w:after="20"/>
              <w:jc w:val="right"/>
              <w:rPr>
                <w:b w:val="0"/>
                <w:sz w:val="16"/>
              </w:rPr>
            </w:pPr>
            <w:r>
              <w:rPr>
                <w:b w:val="0"/>
                <w:sz w:val="16"/>
              </w:rPr>
              <w:t>56,00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1 871 026,70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Райони по договори за опазване на околната среда в горите (15.1)</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8 750 000,00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М15 — Екологични услуги и услуги във връзка с климата в горското стопанство и опазване на горите (член 34)</w:t>
            </w:r>
          </w:p>
        </w:tc>
        <w:tc>
          <w:tcPr>
            <w:tcW w:w="2000" w:type="pct"/>
            <w:shd w:val="clear" w:color="auto" w:fill="FFFFFF"/>
            <w:noWrap w:val="0"/>
            <w:tcMar>
              <w:top w:w="60" w:type="dxa"/>
            </w:tcMar>
            <w:vAlign w:val="center"/>
          </w:tcPr>
          <w:p>
            <w:pPr>
              <w:spacing w:before="20" w:after="20"/>
              <w:jc w:val="left"/>
              <w:rPr>
                <w:b w:val="0"/>
                <w:sz w:val="16"/>
              </w:rPr>
            </w:pPr>
            <w:r>
              <w:rPr>
                <w:b w:val="0"/>
                <w:sz w:val="16"/>
              </w:rPr>
              <w:t>Публични разходи за действия, свързани с генетичните ресурси (15.2)</w:t>
            </w:r>
          </w:p>
        </w:tc>
        <w:tc>
          <w:tcPr>
            <w:tcW w:w="1000" w:type="pct"/>
            <w:shd w:val="clear" w:color="auto" w:fill="FFFFFF"/>
            <w:noWrap w:val="0"/>
            <w:tcMar>
              <w:top w:w="60" w:type="dxa"/>
            </w:tcMar>
            <w:vAlign w:val="center"/>
          </w:tcPr>
          <w:p>
            <w:pPr>
              <w:spacing w:before="20" w:after="20"/>
              <w:jc w:val="right"/>
              <w:rPr>
                <w:b w:val="0"/>
                <w:sz w:val="16"/>
              </w:rPr>
            </w:pPr>
            <w:r>
              <w:rPr>
                <w:b w:val="0"/>
                <w:sz w:val="16"/>
              </w:rPr>
              <w:t>1 500 000,00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537 000,00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2,56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2,52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1,18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2,31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90 600,00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336" w:name="_Toc256000168"/>
      <w:bookmarkStart w:id="337" w:name="_Toc256000431"/>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337"/>
      <w:bookmarkEnd w:id="336"/>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400,00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400 000,00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4 000 000,00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650,00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210 000,00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40,00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50 465 860,00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50 465 860,00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216 674 111,30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2 550 000,00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850,00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467 100,00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405,00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216 674 111,30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119 024 466,80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149 544 703,80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550 000,00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371,00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544 378,80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1000" w:type="pct"/>
            <w:shd w:val="clear" w:color="auto" w:fill="FFFFFF"/>
            <w:noWrap w:val="0"/>
            <w:tcMar>
              <w:top w:w="60" w:type="dxa"/>
            </w:tcMar>
            <w:vAlign w:val="center"/>
          </w:tcPr>
          <w:p>
            <w:pPr>
              <w:spacing w:before="20" w:after="20"/>
              <w:jc w:val="right"/>
              <w:rPr>
                <w:b w:val="0"/>
                <w:sz w:val="16"/>
              </w:rPr>
            </w:pPr>
            <w:r>
              <w:rPr>
                <w:b w:val="0"/>
                <w:sz w:val="16"/>
              </w:rPr>
              <w:t>215,00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79 544 703,80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43 334 822,30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70 000 000,00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18 105,00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1,58</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200 000,00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3 694 595,00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544 723,50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1000" w:type="pct"/>
            <w:shd w:val="clear" w:color="auto" w:fill="FFFFFF"/>
            <w:noWrap w:val="0"/>
            <w:tcMar>
              <w:top w:w="60" w:type="dxa"/>
            </w:tcMar>
            <w:vAlign w:val="center"/>
          </w:tcPr>
          <w:p>
            <w:pPr>
              <w:spacing w:before="20" w:after="20"/>
              <w:jc w:val="right"/>
              <w:rPr>
                <w:b w:val="0"/>
                <w:sz w:val="16"/>
              </w:rPr>
            </w:pPr>
            <w:r>
              <w:rPr>
                <w:b w:val="0"/>
                <w:sz w:val="16"/>
              </w:rPr>
              <w:t>370,00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1000" w:type="pct"/>
            <w:shd w:val="clear" w:color="auto" w:fill="FFFFFF"/>
            <w:noWrap w:val="0"/>
            <w:tcMar>
              <w:top w:w="60" w:type="dxa"/>
            </w:tcMar>
            <w:vAlign w:val="center"/>
          </w:tcPr>
          <w:p>
            <w:pPr>
              <w:spacing w:before="20" w:after="20"/>
              <w:jc w:val="right"/>
              <w:rPr>
                <w:b w:val="0"/>
                <w:sz w:val="16"/>
              </w:rPr>
            </w:pPr>
            <w:r>
              <w:rPr>
                <w:b w:val="0"/>
                <w:sz w:val="16"/>
              </w:rPr>
              <w:t>18 105,00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71 249 407,50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42 749 644,50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1000" w:type="pct"/>
            <w:shd w:val="clear" w:color="auto" w:fill="FFFFFF"/>
            <w:noWrap w:val="0"/>
            <w:tcMar>
              <w:top w:w="60" w:type="dxa"/>
            </w:tcMar>
            <w:vAlign w:val="center"/>
          </w:tcPr>
          <w:p>
            <w:pPr>
              <w:spacing w:before="20" w:after="20"/>
              <w:jc w:val="right"/>
              <w:rPr>
                <w:b w:val="0"/>
                <w:sz w:val="16"/>
              </w:rPr>
            </w:pPr>
            <w:r>
              <w:rPr>
                <w:b w:val="0"/>
                <w:sz w:val="16"/>
              </w:rPr>
              <w:t>18 000 000,00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100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60" w:type="dxa"/>
            </w:tcMar>
            <w:vAlign w:val="center"/>
          </w:tcPr>
          <w:p>
            <w:pPr>
              <w:spacing w:before="20" w:after="20"/>
              <w:jc w:val="right"/>
              <w:rPr>
                <w:b w:val="0"/>
                <w:sz w:val="16"/>
              </w:rPr>
            </w:pPr>
            <w:r>
              <w:rPr>
                <w:b w:val="0"/>
                <w:sz w:val="16"/>
              </w:rPr>
              <w:t>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1000" w:type="pct"/>
            <w:shd w:val="clear" w:color="auto" w:fill="FFFFFF"/>
            <w:noWrap w:val="0"/>
            <w:tcMar>
              <w:top w:w="60" w:type="dxa"/>
            </w:tcMar>
            <w:vAlign w:val="center"/>
          </w:tcPr>
          <w:p>
            <w:pPr>
              <w:spacing w:before="20" w:after="20"/>
              <w:jc w:val="right"/>
              <w:rPr>
                <w:b w:val="0"/>
                <w:sz w:val="16"/>
              </w:rPr>
            </w:pPr>
            <w:r>
              <w:rPr>
                <w:b w:val="0"/>
                <w:sz w:val="16"/>
              </w:rPr>
              <w:t>1 300 000,00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1000" w:type="pct"/>
            <w:shd w:val="clear" w:color="auto" w:fill="FFFFFF"/>
            <w:noWrap w:val="0"/>
            <w:tcMar>
              <w:top w:w="60" w:type="dxa"/>
            </w:tcMar>
            <w:vAlign w:val="center"/>
          </w:tcPr>
          <w:p>
            <w:pPr>
              <w:spacing w:before="20" w:after="20"/>
              <w:jc w:val="right"/>
              <w:rPr>
                <w:b w:val="0"/>
                <w:sz w:val="16"/>
              </w:rPr>
            </w:pPr>
            <w:r>
              <w:rPr>
                <w:b w:val="0"/>
                <w:sz w:val="16"/>
              </w:rPr>
              <w:t>1 800,00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1000" w:type="pct"/>
            <w:shd w:val="clear" w:color="auto" w:fill="FFFFFF"/>
            <w:noWrap w:val="0"/>
            <w:tcMar>
              <w:top w:w="60" w:type="dxa"/>
            </w:tcMar>
            <w:vAlign w:val="center"/>
          </w:tcPr>
          <w:p>
            <w:pPr>
              <w:spacing w:before="20" w:after="20"/>
              <w:jc w:val="right"/>
              <w:rPr>
                <w:b w:val="0"/>
                <w:sz w:val="16"/>
              </w:rPr>
            </w:pPr>
            <w:r>
              <w:rPr>
                <w:b w:val="0"/>
                <w:sz w:val="16"/>
              </w:rPr>
              <w:t>536 323,50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1000" w:type="pct"/>
            <w:shd w:val="clear" w:color="auto" w:fill="FFFFFF"/>
            <w:noWrap w:val="0"/>
            <w:tcMar>
              <w:top w:w="60" w:type="dxa"/>
            </w:tcMar>
            <w:vAlign w:val="center"/>
          </w:tcPr>
          <w:p>
            <w:pPr>
              <w:spacing w:before="20" w:after="20"/>
              <w:jc w:val="right"/>
              <w:rPr>
                <w:b w:val="0"/>
                <w:sz w:val="16"/>
              </w:rPr>
            </w:pPr>
            <w:r>
              <w:rPr>
                <w:b w:val="0"/>
                <w:sz w:val="16"/>
              </w:rPr>
              <w:t>2 050,00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1000" w:type="pct"/>
            <w:shd w:val="clear" w:color="auto" w:fill="FFFFFF"/>
            <w:noWrap w:val="0"/>
            <w:tcMar>
              <w:top w:w="60" w:type="dxa"/>
            </w:tcMar>
            <w:vAlign w:val="center"/>
          </w:tcPr>
          <w:p>
            <w:pPr>
              <w:spacing w:before="20" w:after="20"/>
              <w:jc w:val="right"/>
              <w:rPr>
                <w:b w:val="0"/>
                <w:sz w:val="16"/>
              </w:rPr>
            </w:pPr>
            <w:r>
              <w:rPr>
                <w:b w:val="0"/>
                <w:sz w:val="16"/>
              </w:rPr>
              <w:t>9 217 778,60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1000" w:type="pct"/>
            <w:shd w:val="clear" w:color="auto" w:fill="FFFFFF"/>
            <w:noWrap w:val="0"/>
            <w:tcMar>
              <w:top w:w="60" w:type="dxa"/>
            </w:tcMar>
            <w:vAlign w:val="center"/>
          </w:tcPr>
          <w:p>
            <w:pPr>
              <w:spacing w:before="20" w:after="20"/>
              <w:jc w:val="right"/>
              <w:rPr>
                <w:b w:val="0"/>
                <w:sz w:val="16"/>
              </w:rPr>
            </w:pPr>
            <w:r>
              <w:rPr>
                <w:b w:val="0"/>
                <w:sz w:val="16"/>
              </w:rPr>
              <w:t>8 000 000,00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1000" w:type="pct"/>
            <w:shd w:val="clear" w:color="auto" w:fill="FFFFFF"/>
            <w:noWrap w:val="0"/>
            <w:tcMar>
              <w:top w:w="60" w:type="dxa"/>
            </w:tcMar>
            <w:vAlign w:val="center"/>
          </w:tcPr>
          <w:p>
            <w:pPr>
              <w:spacing w:before="20" w:after="20"/>
              <w:jc w:val="right"/>
              <w:rPr>
                <w:b w:val="0"/>
                <w:sz w:val="16"/>
              </w:rPr>
            </w:pPr>
            <w:r>
              <w:rPr>
                <w:b w:val="0"/>
                <w:sz w:val="16"/>
              </w:rPr>
              <w:t>11 250 000,00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1000" w:type="pct"/>
            <w:shd w:val="clear" w:color="auto" w:fill="FFFFFF"/>
            <w:noWrap w:val="0"/>
            <w:tcMar>
              <w:top w:w="60" w:type="dxa"/>
            </w:tcMar>
            <w:vAlign w:val="center"/>
          </w:tcPr>
          <w:p>
            <w:pPr>
              <w:spacing w:before="20" w:after="20"/>
              <w:jc w:val="right"/>
              <w:rPr>
                <w:b w:val="0"/>
                <w:sz w:val="16"/>
              </w:rPr>
            </w:pPr>
            <w:r>
              <w:rPr>
                <w:b w:val="0"/>
                <w:sz w:val="16"/>
              </w:rPr>
              <w:t>1 111 111,10</w:t>
            </w:r>
          </w:p>
        </w:tc>
      </w:tr>
    </w:tbl>
    <w:p>
      <w:pPr>
        <w:sectPr>
          <w:pgMar w:top="900" w:right="900" w:bottom="900" w:left="900" w:header="720" w:footer="720"/>
          <w:cols w:space="720"/>
        </w:sectPr>
      </w:pPr>
    </w:p>
    <w:p>
      <w:pPr>
        <w:pStyle w:val="Heading3"/>
        <w:jc w:val="left"/>
        <w:rPr>
          <w:b w:val="0"/>
        </w:rPr>
      </w:pPr>
      <w:bookmarkStart w:id="338" w:name="_Toc256000169"/>
      <w:bookmarkStart w:id="339" w:name="_Toc256000432"/>
      <w:r>
        <w:rPr>
          <w:b w:val="0"/>
        </w:rPr>
        <w:t>P6: Насърчаване на социалното приобщаване, намаляването на бедността и икономическото развитие в селските райони</w:t>
      </w:r>
      <w:bookmarkEnd w:id="339"/>
      <w:bookmarkEnd w:id="338"/>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4 270,00</w:t>
            </w:r>
          </w:p>
        </w:tc>
      </w:tr>
    </w:tbl>
    <w:p>
      <w:pPr>
        <w:jc w:val="center"/>
        <w:rPr>
          <w:b w:val="0"/>
          <w:sz w:val="16"/>
        </w:rPr>
      </w:pPr>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1000" w:type="pct"/>
            <w:shd w:val="clear" w:color="auto" w:fill="FFFFFF"/>
            <w:noWrap w:val="0"/>
            <w:tcMar>
              <w:top w:w="60" w:type="dxa"/>
            </w:tcMar>
            <w:vAlign w:val="center"/>
          </w:tcPr>
          <w:p>
            <w:pPr>
              <w:spacing w:before="20" w:after="20"/>
              <w:jc w:val="right"/>
              <w:rPr>
                <w:b w:val="0"/>
                <w:sz w:val="16"/>
              </w:rPr>
            </w:pPr>
            <w:r>
              <w:rPr>
                <w:b w:val="0"/>
                <w:sz w:val="16"/>
              </w:rPr>
              <w:t>1 600,00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1000" w:type="pct"/>
            <w:shd w:val="clear" w:color="auto" w:fill="FFFFFF"/>
            <w:noWrap w:val="0"/>
            <w:tcMar>
              <w:top w:w="60" w:type="dxa"/>
            </w:tcMar>
            <w:vAlign w:val="center"/>
          </w:tcPr>
          <w:p>
            <w:pPr>
              <w:spacing w:before="20" w:after="20"/>
              <w:jc w:val="right"/>
              <w:rPr>
                <w:b w:val="0"/>
                <w:sz w:val="16"/>
              </w:rPr>
            </w:pPr>
            <w:r>
              <w:rPr>
                <w:b w:val="0"/>
                <w:sz w:val="16"/>
              </w:rPr>
              <w:t>161 421 952,20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127 945 241,00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1000" w:type="pct"/>
            <w:shd w:val="clear" w:color="auto" w:fill="FFFFFF"/>
            <w:noWrap w:val="0"/>
            <w:tcMar>
              <w:top w:w="60" w:type="dxa"/>
            </w:tcMar>
            <w:vAlign w:val="center"/>
          </w:tcPr>
          <w:p>
            <w:pPr>
              <w:spacing w:before="20" w:after="20"/>
              <w:jc w:val="right"/>
              <w:rPr>
                <w:b w:val="0"/>
                <w:sz w:val="16"/>
              </w:rPr>
            </w:pPr>
            <w:r>
              <w:rPr>
                <w:b w:val="0"/>
                <w:sz w:val="16"/>
              </w:rPr>
              <w:t>570,00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1000" w:type="pct"/>
            <w:shd w:val="clear" w:color="auto" w:fill="FFFFFF"/>
            <w:noWrap w:val="0"/>
            <w:tcMar>
              <w:top w:w="60" w:type="dxa"/>
            </w:tcMar>
            <w:vAlign w:val="center"/>
          </w:tcPr>
          <w:p>
            <w:pPr>
              <w:spacing w:before="20" w:after="20"/>
              <w:jc w:val="right"/>
              <w:rPr>
                <w:b w:val="0"/>
                <w:sz w:val="16"/>
              </w:rPr>
            </w:pPr>
            <w:r>
              <w:rPr>
                <w:b w:val="0"/>
                <w:sz w:val="16"/>
              </w:rPr>
              <w:t>250,00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1000" w:type="pct"/>
            <w:shd w:val="clear" w:color="auto" w:fill="FFFFFF"/>
            <w:noWrap w:val="0"/>
            <w:tcMar>
              <w:top w:w="60" w:type="dxa"/>
            </w:tcMar>
            <w:vAlign w:val="center"/>
          </w:tcPr>
          <w:p>
            <w:pPr>
              <w:spacing w:before="20" w:after="20"/>
              <w:jc w:val="right"/>
              <w:rPr>
                <w:b w:val="0"/>
                <w:sz w:val="16"/>
              </w:rPr>
            </w:pPr>
            <w:r>
              <w:rPr>
                <w:b w:val="0"/>
                <w:sz w:val="16"/>
              </w:rPr>
              <w:t>100,00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525 725 910,60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1000" w:type="pct"/>
            <w:shd w:val="clear" w:color="auto" w:fill="FFFFFF"/>
            <w:noWrap w:val="0"/>
            <w:tcMar>
              <w:top w:w="60" w:type="dxa"/>
            </w:tcMar>
            <w:vAlign w:val="center"/>
          </w:tcPr>
          <w:p>
            <w:pPr>
              <w:spacing w:before="20" w:after="20"/>
              <w:jc w:val="right"/>
              <w:rPr>
                <w:b w:val="0"/>
                <w:sz w:val="16"/>
              </w:rPr>
            </w:pPr>
            <w:r>
              <w:rPr>
                <w:b w:val="0"/>
                <w:sz w:val="16"/>
              </w:rPr>
              <w:t>2 766 442,00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60" w:type="dxa"/>
            </w:tcMar>
            <w:vAlign w:val="center"/>
          </w:tcPr>
          <w:p>
            <w:pPr>
              <w:spacing w:before="20" w:after="20"/>
              <w:jc w:val="right"/>
              <w:rPr>
                <w:b w:val="0"/>
                <w:sz w:val="16"/>
              </w:rPr>
            </w:pPr>
            <w:r>
              <w:rPr>
                <w:b w:val="0"/>
                <w:sz w:val="16"/>
              </w:rPr>
              <w:t>91 663 875,00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60" w:type="dxa"/>
            </w:tcMar>
            <w:vAlign w:val="center"/>
          </w:tcPr>
          <w:p>
            <w:pPr>
              <w:spacing w:before="20" w:after="20"/>
              <w:jc w:val="right"/>
              <w:rPr>
                <w:b w:val="0"/>
                <w:sz w:val="16"/>
              </w:rPr>
            </w:pPr>
            <w:r>
              <w:rPr>
                <w:b w:val="0"/>
                <w:sz w:val="16"/>
              </w:rPr>
              <w:t>6 500 000,00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60" w:type="dxa"/>
            </w:tcMar>
            <w:vAlign w:val="center"/>
          </w:tcPr>
          <w:p>
            <w:pPr>
              <w:spacing w:before="20" w:after="20"/>
              <w:jc w:val="right"/>
              <w:rPr>
                <w:b w:val="0"/>
                <w:sz w:val="16"/>
              </w:rPr>
            </w:pPr>
            <w:r>
              <w:rPr>
                <w:b w:val="0"/>
                <w:sz w:val="16"/>
              </w:rPr>
              <w:t>30 553 959,00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2023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bl>
    <w:p/>
    <w:p>
      <w:r>
        <w:t>Планиран(и) показател(и) за изпълнението 2014—2020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168"/>
        <w:gridCol w:w="4168"/>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center"/>
          </w:tcPr>
          <w:p>
            <w:pPr>
              <w:jc w:val="center"/>
              <w:rPr>
                <w:b/>
                <w:sz w:val="20"/>
              </w:rPr>
            </w:pPr>
            <w:r>
              <w:rPr>
                <w:b/>
                <w:sz w:val="20"/>
              </w:rPr>
              <w:t>Наименование на мярката</w:t>
            </w:r>
          </w:p>
        </w:tc>
        <w:tc>
          <w:tcPr>
            <w:tcW w:w="2000" w:type="pct"/>
            <w:shd w:val="clear" w:color="auto" w:fill="C0C0C0"/>
            <w:noWrap w:val="0"/>
            <w:tcMar>
              <w:top w:w="60" w:type="dxa"/>
            </w:tcMar>
            <w:vAlign w:val="center"/>
          </w:tcPr>
          <w:p>
            <w:pPr>
              <w:jc w:val="center"/>
              <w:rPr>
                <w:b/>
                <w:sz w:val="20"/>
              </w:rPr>
            </w:pPr>
            <w:r>
              <w:rPr>
                <w:b/>
                <w:sz w:val="20"/>
              </w:rPr>
              <w:t>Име на показателя</w:t>
            </w:r>
          </w:p>
        </w:tc>
        <w:tc>
          <w:tcPr>
            <w:tcW w:w="1000" w:type="pct"/>
            <w:shd w:val="clear" w:color="auto" w:fill="C0C0C0"/>
            <w:noWrap w:val="0"/>
            <w:tcMar>
              <w:top w:w="60" w:type="dxa"/>
            </w:tcMar>
            <w:vAlign w:val="center"/>
          </w:tcPr>
          <w:p>
            <w:pPr>
              <w:jc w:val="center"/>
              <w:rPr>
                <w:b w:val="0"/>
                <w:sz w:val="20"/>
              </w:rPr>
            </w:pPr>
            <w:r>
              <w:rPr>
                <w:b/>
                <w:sz w:val="20"/>
              </w:rPr>
              <w:t>Стойност</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1000" w:type="pct"/>
            <w:shd w:val="clear" w:color="auto" w:fill="FFFFFF"/>
            <w:noWrap w:val="0"/>
            <w:tcMar>
              <w:top w:w="60" w:type="dxa"/>
            </w:tcMar>
            <w:vAlign w:val="center"/>
          </w:tcPr>
          <w:p>
            <w:pPr>
              <w:spacing w:before="20" w:after="20"/>
              <w:jc w:val="right"/>
              <w:rPr>
                <w:b w:val="0"/>
                <w:sz w:val="16"/>
              </w:rPr>
            </w:pPr>
            <w:r>
              <w:rPr>
                <w:b w:val="0"/>
                <w:sz w:val="16"/>
              </w:rPr>
              <w:t>19,00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1000" w:type="pct"/>
            <w:shd w:val="clear" w:color="auto" w:fill="FFFFFF"/>
            <w:noWrap w:val="0"/>
            <w:tcMar>
              <w:top w:w="60" w:type="dxa"/>
            </w:tcMar>
            <w:vAlign w:val="center"/>
          </w:tcPr>
          <w:p>
            <w:pPr>
              <w:spacing w:before="20" w:after="20"/>
              <w:jc w:val="right"/>
              <w:rPr>
                <w:b w:val="0"/>
                <w:sz w:val="16"/>
              </w:rPr>
            </w:pPr>
            <w:r>
              <w:rPr>
                <w:b w:val="0"/>
                <w:sz w:val="16"/>
              </w:rPr>
              <w:t>98 000,00</w:t>
            </w:r>
          </w:p>
        </w:tc>
      </w:tr>
      <w:tr>
        <w:tblPrEx>
          <w:tblW w:w="5000" w:type="pct"/>
          <w:tblCellMar>
            <w:left w:w="108" w:type="dxa"/>
            <w:right w:w="108" w:type="dxa"/>
          </w:tblCellMar>
        </w:tblPrEx>
        <w:tc>
          <w:tcPr>
            <w:tcW w:w="200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200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1000" w:type="pct"/>
            <w:shd w:val="clear" w:color="auto" w:fill="FFFFFF"/>
            <w:noWrap w:val="0"/>
            <w:tcMar>
              <w:top w:w="60" w:type="dxa"/>
            </w:tcMar>
            <w:vAlign w:val="center"/>
          </w:tcPr>
          <w:p>
            <w:pPr>
              <w:spacing w:before="20" w:after="20"/>
              <w:jc w:val="right"/>
              <w:rPr>
                <w:b w:val="0"/>
                <w:sz w:val="16"/>
              </w:rPr>
            </w:pPr>
            <w:r>
              <w:rPr>
                <w:b w:val="0"/>
                <w:sz w:val="16"/>
              </w:rPr>
              <w:t>30 000 000,00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340" w:name="_Toc256000170"/>
      <w:bookmarkStart w:id="341" w:name="_Toc256000433"/>
      <w:r>
        <w:t>Преглед на планираното изпълнение и на планираните разходи по мерки и по области с поставен акцент (генериран автоматично)</w:t>
      </w:r>
      <w:bookmarkEnd w:id="341"/>
      <w:bookmarkEnd w:id="3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1"/>
        <w:gridCol w:w="1538"/>
        <w:gridCol w:w="935"/>
        <w:gridCol w:w="877"/>
        <w:gridCol w:w="791"/>
        <w:gridCol w:w="935"/>
        <w:gridCol w:w="648"/>
        <w:gridCol w:w="461"/>
        <w:gridCol w:w="453"/>
        <w:gridCol w:w="453"/>
        <w:gridCol w:w="820"/>
        <w:gridCol w:w="935"/>
        <w:gridCol w:w="877"/>
        <w:gridCol w:w="877"/>
        <w:gridCol w:w="820"/>
        <w:gridCol w:w="935"/>
        <w:gridCol w:w="935"/>
        <w:gridCol w:w="791"/>
        <w:gridCol w:w="9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P2</w:t>
            </w:r>
          </w:p>
        </w:tc>
        <w:tc>
          <w:tcPr>
            <w:tcW w:w="1000" w:type="pct"/>
            <w:gridSpan w:val="2"/>
            <w:shd w:val="clear" w:color="auto" w:fill="C0C0C0"/>
            <w:noWrap w:val="0"/>
            <w:tcMar>
              <w:top w:w="20" w:type="dxa"/>
              <w:left w:w="20" w:type="dxa"/>
              <w:bottom w:w="20" w:type="dxa"/>
            </w:tcMar>
            <w:vAlign w:val="center"/>
          </w:tcPr>
          <w:p>
            <w:pPr>
              <w:jc w:val="center"/>
              <w:rPr>
                <w:b w:val="0"/>
                <w:sz w:val="16"/>
              </w:rPr>
            </w:pPr>
            <w:r>
              <w:rPr>
                <w:b w:val="0"/>
                <w:sz w:val="16"/>
              </w:rPr>
              <w:t>P3</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P4</w:t>
            </w:r>
          </w:p>
        </w:tc>
        <w:tc>
          <w:tcPr>
            <w:tcW w:w="1000" w:type="pct"/>
            <w:gridSpan w:val="5"/>
            <w:shd w:val="clear" w:color="auto" w:fill="C0C0C0"/>
            <w:noWrap w:val="0"/>
            <w:tcMar>
              <w:top w:w="20" w:type="dxa"/>
              <w:left w:w="20" w:type="dxa"/>
              <w:bottom w:w="20" w:type="dxa"/>
            </w:tcMar>
            <w:vAlign w:val="center"/>
          </w:tcPr>
          <w:p>
            <w:pPr>
              <w:jc w:val="center"/>
              <w:rPr>
                <w:b w:val="0"/>
                <w:sz w:val="16"/>
              </w:rPr>
            </w:pPr>
            <w:r>
              <w:rPr>
                <w:b w:val="0"/>
                <w:sz w:val="16"/>
              </w:rPr>
              <w:t>P5</w:t>
            </w:r>
          </w:p>
        </w:tc>
        <w:tc>
          <w:tcPr>
            <w:tcW w:w="1000" w:type="pct"/>
            <w:gridSpan w:val="3"/>
            <w:shd w:val="clear" w:color="auto" w:fill="C0C0C0"/>
            <w:noWrap w:val="0"/>
            <w:tcMar>
              <w:top w:w="20" w:type="dxa"/>
              <w:left w:w="20" w:type="dxa"/>
              <w:bottom w:w="20" w:type="dxa"/>
            </w:tcMar>
            <w:vAlign w:val="center"/>
          </w:tcPr>
          <w:p>
            <w:pPr>
              <w:jc w:val="center"/>
              <w:rPr>
                <w:b w:val="0"/>
                <w:sz w:val="16"/>
              </w:rPr>
            </w:pPr>
            <w:r>
              <w:rPr>
                <w:b w:val="0"/>
                <w:sz w:val="16"/>
              </w:rPr>
              <w:t>P6</w:t>
            </w:r>
          </w:p>
        </w:tc>
        <w:tc>
          <w:tcPr>
            <w:tcW w:w="1000" w:type="pct"/>
            <w:vMerge w:val="restar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vMerge/>
            <w:shd w:val="clear" w:color="auto" w:fill="C0C0C0"/>
            <w:noWrap w:val="0"/>
            <w:tcMar>
              <w:top w:w="20" w:type="dxa"/>
              <w:left w:w="20" w:type="dxa"/>
              <w:bottom w:w="20" w:type="dxa"/>
            </w:tcMar>
            <w:vAlign w:val="center"/>
          </w:tcPr>
          <w:p>
            <w:pPr>
              <w:jc w:val="center"/>
              <w:rPr>
                <w:b w:val="0"/>
                <w:sz w:val="16"/>
              </w:rPr>
            </w:pP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5C</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5D</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5E</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6A</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6B</w:t>
            </w:r>
          </w:p>
        </w:tc>
        <w:tc>
          <w:tcPr>
            <w:tcW w:w="1000" w:type="pct"/>
            <w:shd w:val="clear" w:color="auto" w:fill="C0C0C0"/>
            <w:noWrap w:val="0"/>
            <w:tcMar>
              <w:top w:w="20" w:type="dxa"/>
              <w:left w:w="20" w:type="dxa"/>
              <w:bottom w:w="20" w:type="dxa"/>
            </w:tcMar>
            <w:vAlign w:val="center"/>
          </w:tcPr>
          <w:p>
            <w:pPr>
              <w:jc w:val="center"/>
              <w:rPr>
                <w:b w:val="0"/>
                <w:sz w:val="16"/>
              </w:rPr>
            </w:pPr>
            <w:r>
              <w:rPr>
                <w:b w:val="0"/>
                <w:sz w:val="16"/>
              </w:rPr>
              <w:t>6C</w:t>
            </w:r>
          </w:p>
        </w:tc>
        <w:tc>
          <w:tcPr>
            <w:tcW w:w="1000" w:type="pct"/>
            <w:vMerge/>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5,900,000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25,394,595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8,030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1,725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850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371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19,426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13,848,529.4</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1,351,714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984,000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150,000</w:t>
            </w: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1,255,318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467,100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544,378.8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544,723.5</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536,323.5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19,892,087.2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239,255,663.3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74,215,686.3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468,347,358.8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213,640,199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216,674,111.3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79,544,703.8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71,249,407.5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1,413,392,990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164,719,395.7</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44,529,411.8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235,577,947.1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131,490,786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50,465,860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119,024,466.8</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43,334,822.3</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42,749,644.5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831,892,334.2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161,421,952.2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304,137,815.4</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60,945,294.1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76,513,021.1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127,945,241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270,661,104.2</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525,725,910.6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30,000,000</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625,725,910.6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9,217,778.6</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17,059,596.5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17,059,596.5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11,250,000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7,795,946.6</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205,346,669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18,000,000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223,346,669</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151,593,438.7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151,593,438.7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139,676,037.3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139,676,037.3</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275,604,674.7</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275,604,674.7</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56,859,510.5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M15</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Райони по договори за опазване на околната среда в горите (15.1)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90,600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90,600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8,750,000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8,750,000</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280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7,777,777.8</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9,555,555.6</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r>
              <w:rPr>
                <w:b w:val="0"/>
                <w:sz w:val="12"/>
              </w:rPr>
              <w:t>9,684,835.6</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32,573,724.5</w:t>
            </w:r>
          </w:p>
        </w:tc>
      </w:tr>
      <w:tr>
        <w:tblPrEx>
          <w:tblW w:w="5000" w:type="pct"/>
          <w:tblCellMar>
            <w:left w:w="108" w:type="dxa"/>
            <w:right w:w="108" w:type="dxa"/>
          </w:tblCellMar>
        </w:tblPrEx>
        <w:tc>
          <w:tcPr>
            <w:tcW w:w="100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2,766,442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2,766,442</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91,663,875</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91,663,875</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1000" w:type="pct"/>
            <w:vMerge/>
            <w:shd w:val="clear" w:color="auto" w:fill="FFFFFF"/>
            <w:noWrap w:val="0"/>
            <w:tcMar>
              <w:top w:w="20" w:type="dxa"/>
              <w:left w:w="20" w:type="dxa"/>
              <w:bottom w:w="20" w:type="dxa"/>
            </w:tcMar>
            <w:vAlign w:val="center"/>
          </w:tcPr>
          <w:p>
            <w:pPr>
              <w:jc w:val="center"/>
              <w:rPr>
                <w:b w:val="0"/>
                <w:sz w:val="12"/>
              </w:rPr>
            </w:pPr>
          </w:p>
        </w:tc>
        <w:tc>
          <w:tcPr>
            <w:tcW w:w="100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gridSpan w:val="3"/>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30,553,959</w:t>
            </w:r>
          </w:p>
        </w:tc>
        <w:tc>
          <w:tcPr>
            <w:tcW w:w="1000" w:type="pct"/>
            <w:shd w:val="clear" w:color="auto" w:fill="FFFFFF"/>
            <w:noWrap w:val="0"/>
            <w:tcMar>
              <w:top w:w="20" w:type="dxa"/>
              <w:left w:w="20" w:type="dxa"/>
              <w:bottom w:w="20" w:type="dxa"/>
            </w:tcMar>
            <w:vAlign w:val="center"/>
          </w:tcPr>
          <w:p>
            <w:pPr>
              <w:jc w:val="right"/>
              <w:rPr>
                <w:b w:val="0"/>
                <w:sz w:val="12"/>
              </w:rPr>
            </w:pPr>
          </w:p>
        </w:tc>
        <w:tc>
          <w:tcPr>
            <w:tcW w:w="1000" w:type="pct"/>
            <w:shd w:val="clear" w:color="auto" w:fill="FFFFFF"/>
            <w:noWrap w:val="0"/>
            <w:tcMar>
              <w:top w:w="20" w:type="dxa"/>
              <w:left w:w="20" w:type="dxa"/>
              <w:bottom w:w="20" w:type="dxa"/>
            </w:tcMar>
            <w:vAlign w:val="center"/>
          </w:tcPr>
          <w:p>
            <w:pPr>
              <w:jc w:val="right"/>
              <w:rPr>
                <w:b w:val="0"/>
                <w:sz w:val="12"/>
              </w:rPr>
            </w:pPr>
            <w:r>
              <w:rPr>
                <w:b w:val="0"/>
                <w:sz w:val="12"/>
              </w:rPr>
              <w:t>30,553,959</w:t>
            </w:r>
          </w:p>
        </w:tc>
      </w:tr>
    </w:tbl>
    <w:p>
      <w:pPr>
        <w:sectPr>
          <w:pgSz w:w="15840" w:h="12240" w:orient="landscape"/>
          <w:pgMar w:top="900" w:right="46" w:bottom="900" w:left="46" w:header="720" w:footer="720"/>
          <w:cols w:space="720"/>
        </w:sectPr>
      </w:pPr>
    </w:p>
    <w:p>
      <w:pPr>
        <w:pStyle w:val="Heading2"/>
      </w:pPr>
      <w:bookmarkStart w:id="342" w:name="_Toc256000171"/>
      <w:bookmarkStart w:id="343" w:name="_Toc256000434"/>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343"/>
      <w:bookmarkEnd w:id="3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052"/>
        <w:gridCol w:w="6173"/>
        <w:gridCol w:w="344"/>
        <w:gridCol w:w="335"/>
        <w:gridCol w:w="335"/>
        <w:gridCol w:w="344"/>
        <w:gridCol w:w="335"/>
        <w:gridCol w:w="425"/>
        <w:gridCol w:w="344"/>
        <w:gridCol w:w="335"/>
        <w:gridCol w:w="344"/>
        <w:gridCol w:w="335"/>
        <w:gridCol w:w="335"/>
        <w:gridCol w:w="344"/>
        <w:gridCol w:w="335"/>
        <w:gridCol w:w="335"/>
        <w:gridCol w:w="344"/>
        <w:gridCol w:w="326"/>
        <w:gridCol w:w="344"/>
        <w:gridCol w:w="335"/>
        <w:gridCol w:w="33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М15 — Екологични услуги и услуги във връзка с климата в горското стопанство и опазване на горите (член 34)</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344" w:name="_Toc256000172"/>
      <w:bookmarkStart w:id="345" w:name="_Toc256000435"/>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345"/>
      <w:bookmarkEnd w:id="344"/>
    </w:p>
    <w:p>
      <w:pPr>
        <w:pStyle w:val="Heading3"/>
        <w:jc w:val="left"/>
        <w:rPr>
          <w:b w:val="0"/>
        </w:rPr>
      </w:pPr>
      <w:r>
        <w:rPr>
          <w:b w:val="0"/>
        </w:rPr>
        <w:t xml:space="preserve"> </w:t>
      </w:r>
      <w:bookmarkStart w:id="346" w:name="_Toc256000173"/>
      <w:bookmarkStart w:id="347" w:name="_Toc256000436"/>
      <w:r>
        <w:rPr>
          <w:b w:val="0"/>
        </w:rPr>
        <w:t>Земеделска земя</w:t>
      </w:r>
      <w:bookmarkEnd w:id="347"/>
      <w:bookmarkEnd w:id="346"/>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813"/>
        <w:gridCol w:w="1703"/>
        <w:gridCol w:w="1040"/>
        <w:gridCol w:w="1185"/>
        <w:gridCol w:w="1509"/>
        <w:gridCol w:w="1413"/>
        <w:gridCol w:w="1413"/>
        <w:gridCol w:w="1435"/>
        <w:gridCol w:w="250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62 420 000,00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28 420 000,00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20 000 000,00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18 000 000,00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52 420 000,00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37 086 669,30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64"/>
        <w:gridCol w:w="1321"/>
        <w:gridCol w:w="1443"/>
        <w:gridCol w:w="1715"/>
        <w:gridCol w:w="1635"/>
        <w:gridCol w:w="1635"/>
        <w:gridCol w:w="1653"/>
        <w:gridCol w:w="255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35 726 624,00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87 179 871,00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88"/>
        <w:gridCol w:w="1297"/>
        <w:gridCol w:w="1421"/>
        <w:gridCol w:w="1698"/>
        <w:gridCol w:w="1616"/>
        <w:gridCol w:w="1616"/>
        <w:gridCol w:w="1634"/>
        <w:gridCol w:w="255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90 829 877,30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09"/>
        <w:gridCol w:w="1312"/>
        <w:gridCol w:w="1435"/>
        <w:gridCol w:w="1709"/>
        <w:gridCol w:w="1628"/>
        <w:gridCol w:w="1628"/>
        <w:gridCol w:w="1646"/>
        <w:gridCol w:w="255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9 217 778,70</w:t>
            </w:r>
          </w:p>
        </w:tc>
        <w:tc>
          <w:tcPr>
            <w:tcW w:w="750" w:type="pct"/>
            <w:shd w:val="clear" w:color="auto" w:fill="FFFFFF"/>
            <w:noWrap w:val="0"/>
            <w:tcMar>
              <w:top w:w="60" w:type="dxa"/>
            </w:tcMar>
            <w:vAlign w:val="top"/>
          </w:tcPr>
          <w:p>
            <w:pPr>
              <w:jc w:val="right"/>
              <w:rPr>
                <w:b w:val="0"/>
                <w:sz w:val="16"/>
              </w:rPr>
            </w:pPr>
            <w:r>
              <w:rPr>
                <w:b w:val="0"/>
                <w:sz w:val="16"/>
              </w:rPr>
              <w:t>2 050,00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348" w:name="_Toc256000174"/>
      <w:bookmarkStart w:id="349" w:name="_Toc256000437"/>
      <w:r>
        <w:rPr>
          <w:b w:val="0"/>
        </w:rPr>
        <w:t>Горски площи</w:t>
      </w:r>
      <w:bookmarkEnd w:id="349"/>
      <w:bookmarkEnd w:id="348"/>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02"/>
        <w:gridCol w:w="2260"/>
        <w:gridCol w:w="2304"/>
        <w:gridCol w:w="2404"/>
        <w:gridCol w:w="2375"/>
        <w:gridCol w:w="2375"/>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1 500 000,00</w:t>
            </w:r>
          </w:p>
        </w:tc>
        <w:tc>
          <w:tcPr>
            <w:tcW w:w="750" w:type="pct"/>
            <w:shd w:val="clear" w:color="auto" w:fill="FFFFFF"/>
            <w:noWrap w:val="0"/>
            <w:tcMar>
              <w:top w:w="60" w:type="dxa"/>
            </w:tcMar>
            <w:vAlign w:val="top"/>
          </w:tcPr>
          <w:p>
            <w:pPr>
              <w:jc w:val="right"/>
              <w:rPr>
                <w:b w:val="0"/>
                <w:sz w:val="16"/>
              </w:rPr>
            </w:pPr>
            <w:r>
              <w:rPr>
                <w:b w:val="0"/>
                <w:sz w:val="16"/>
              </w:rPr>
              <w:t>100,00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7 250 000,00</w:t>
            </w:r>
          </w:p>
        </w:tc>
        <w:tc>
          <w:tcPr>
            <w:tcW w:w="750" w:type="pct"/>
            <w:shd w:val="clear" w:color="auto" w:fill="FFFFFF"/>
            <w:noWrap w:val="0"/>
            <w:tcMar>
              <w:top w:w="60" w:type="dxa"/>
            </w:tcMar>
            <w:vAlign w:val="top"/>
          </w:tcPr>
          <w:p>
            <w:pPr>
              <w:jc w:val="right"/>
              <w:rPr>
                <w:b w:val="0"/>
                <w:sz w:val="16"/>
              </w:rPr>
            </w:pPr>
            <w:r>
              <w:rPr>
                <w:b w:val="0"/>
                <w:sz w:val="16"/>
              </w:rPr>
              <w:t>90 600,00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50"/>
        <w:gridCol w:w="1941"/>
        <w:gridCol w:w="2012"/>
        <w:gridCol w:w="2170"/>
        <w:gridCol w:w="2124"/>
        <w:gridCol w:w="21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1 871 026,67</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602"/>
        <w:gridCol w:w="1952"/>
        <w:gridCol w:w="2022"/>
        <w:gridCol w:w="2179"/>
        <w:gridCol w:w="2132"/>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11 250 000,00</w:t>
            </w:r>
          </w:p>
        </w:tc>
        <w:tc>
          <w:tcPr>
            <w:tcW w:w="750" w:type="pct"/>
            <w:shd w:val="clear" w:color="auto" w:fill="FFFFFF"/>
            <w:noWrap w:val="0"/>
            <w:tcMar>
              <w:top w:w="60" w:type="dxa"/>
            </w:tcMar>
            <w:vAlign w:val="top"/>
          </w:tcPr>
          <w:p>
            <w:pPr>
              <w:jc w:val="right"/>
              <w:rPr>
                <w:b w:val="0"/>
                <w:sz w:val="16"/>
              </w:rPr>
            </w:pPr>
            <w:r>
              <w:rPr>
                <w:b w:val="0"/>
                <w:sz w:val="16"/>
              </w:rPr>
              <w:t>1 500,00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350" w:name="_Toc256000175"/>
      <w:bookmarkStart w:id="351" w:name="_Toc256000438"/>
      <w:r>
        <w:t>Специфични за програмата цел и изпълнение</w:t>
      </w:r>
      <w:bookmarkEnd w:id="351"/>
      <w:bookmarkEnd w:id="350"/>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4098"/>
        <w:gridCol w:w="1805"/>
        <w:gridCol w:w="1519"/>
        <w:gridCol w:w="1514"/>
        <w:gridCol w:w="14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2023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125"/>
        <w:gridCol w:w="1741"/>
        <w:gridCol w:w="1261"/>
        <w:gridCol w:w="1389"/>
        <w:gridCol w:w="1556"/>
        <w:gridCol w:w="134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352" w:name="_Toc256000176"/>
      <w:bookmarkStart w:id="353" w:name="_Toc256000439"/>
      <w:r>
        <w:t>Допълнително национално финансиране</w:t>
      </w:r>
      <w:bookmarkEnd w:id="353"/>
      <w:bookmarkEnd w:id="352"/>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354" w:name="_Toc256000177"/>
      <w:bookmarkStart w:id="355" w:name="_Toc256000440"/>
      <w:r>
        <w:rPr>
          <w:b/>
          <w:i w:val="0"/>
        </w:rPr>
        <w:t>М01 — Трансфер на знания и действия за осведомяване (член 14)</w:t>
      </w:r>
      <w:bookmarkEnd w:id="355"/>
      <w:bookmarkEnd w:id="35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356" w:name="_Toc256000178"/>
      <w:bookmarkStart w:id="357" w:name="_Toc256000441"/>
      <w:r>
        <w:rPr>
          <w:b/>
          <w:i w:val="0"/>
        </w:rPr>
        <w:t>М02 —  Консултантски услуги, услуги по управление на стопанство и услуги по заместване в стопанство (член 15)</w:t>
      </w:r>
      <w:bookmarkEnd w:id="357"/>
      <w:bookmarkEnd w:id="35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58" w:name="_Toc256000179"/>
      <w:bookmarkStart w:id="359" w:name="_Toc256000442"/>
      <w:r>
        <w:rPr>
          <w:b/>
          <w:i w:val="0"/>
        </w:rPr>
        <w:t>M04 — Инвестиции в материални активи (член 17)</w:t>
      </w:r>
      <w:bookmarkEnd w:id="359"/>
      <w:bookmarkEnd w:id="35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0" w:name="_Toc256000180"/>
      <w:bookmarkStart w:id="361" w:name="_Toc256000443"/>
      <w:r>
        <w:rPr>
          <w:b/>
          <w:i w:val="0"/>
        </w:rPr>
        <w:t>M06 — Развитие на стопанства и предприятия (член 19)</w:t>
      </w:r>
      <w:bookmarkEnd w:id="361"/>
      <w:bookmarkEnd w:id="36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2" w:name="_Toc256000181"/>
      <w:bookmarkStart w:id="363" w:name="_Toc256000444"/>
      <w:r>
        <w:rPr>
          <w:b/>
          <w:i w:val="0"/>
        </w:rPr>
        <w:t>М07 — Основни услуги и обновяване на селата в селските райони (член 20)</w:t>
      </w:r>
      <w:bookmarkEnd w:id="363"/>
      <w:bookmarkEnd w:id="36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4" w:name="_Toc256000182"/>
      <w:bookmarkStart w:id="365" w:name="_Toc256000445"/>
      <w:r>
        <w:rPr>
          <w:b/>
          <w:i w:val="0"/>
        </w:rPr>
        <w:t>М08 — Инвестиции в развитие на горските райони и подобряване на жизнеспособността на горите (членове 21 — 26)</w:t>
      </w:r>
      <w:bookmarkEnd w:id="365"/>
      <w:bookmarkEnd w:id="36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6" w:name="_Toc256000183"/>
      <w:bookmarkStart w:id="367" w:name="_Toc256000446"/>
      <w:r>
        <w:rPr>
          <w:b/>
          <w:i w:val="0"/>
        </w:rPr>
        <w:t>M09 — Създаване на групи и организации на производителите (член 27)</w:t>
      </w:r>
      <w:bookmarkEnd w:id="367"/>
      <w:bookmarkEnd w:id="36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68" w:name="_Toc256000184"/>
      <w:bookmarkStart w:id="369" w:name="_Toc256000447"/>
      <w:r>
        <w:rPr>
          <w:b/>
          <w:i w:val="0"/>
        </w:rPr>
        <w:t>M10 — Агроекология и климат (член 28)</w:t>
      </w:r>
      <w:bookmarkEnd w:id="369"/>
      <w:bookmarkEnd w:id="36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0" w:name="_Toc256000185"/>
      <w:bookmarkStart w:id="371" w:name="_Toc256000448"/>
      <w:r>
        <w:rPr>
          <w:b/>
          <w:i w:val="0"/>
        </w:rPr>
        <w:t>М11 — Биологично земеделие (член 29)</w:t>
      </w:r>
      <w:bookmarkEnd w:id="371"/>
      <w:bookmarkEnd w:id="37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2" w:name="_Toc256000186"/>
      <w:bookmarkStart w:id="373" w:name="_Toc256000449"/>
      <w:r>
        <w:rPr>
          <w:b/>
          <w:i w:val="0"/>
        </w:rPr>
        <w:t>M12 — Плащания по „Натура 2000“ и Рамковата директива за водите (член 30)</w:t>
      </w:r>
      <w:bookmarkEnd w:id="373"/>
      <w:bookmarkEnd w:id="37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4" w:name="_Toc256000187"/>
      <w:bookmarkStart w:id="375" w:name="_Toc256000450"/>
      <w:r>
        <w:rPr>
          <w:b/>
          <w:i w:val="0"/>
        </w:rPr>
        <w:t>М13 — Плащания за райони, изправени пред природни или други специфични ограничения (член 31)</w:t>
      </w:r>
      <w:bookmarkEnd w:id="375"/>
      <w:bookmarkEnd w:id="37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6" w:name="_Toc256000188"/>
      <w:bookmarkStart w:id="377" w:name="_Toc256000451"/>
      <w:r>
        <w:rPr>
          <w:b/>
          <w:i w:val="0"/>
        </w:rPr>
        <w:t>M14 — Хуманно отношение към животните (член 33)</w:t>
      </w:r>
      <w:bookmarkEnd w:id="377"/>
      <w:bookmarkEnd w:id="37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78" w:name="_Toc256000189"/>
      <w:bookmarkStart w:id="379" w:name="_Toc256000452"/>
      <w:r>
        <w:rPr>
          <w:b/>
          <w:i w:val="0"/>
        </w:rPr>
        <w:t>М15 — Екологични услуги и услуги във връзка с климата в горското стопанство и опазване на горите (член 34)</w:t>
      </w:r>
      <w:bookmarkEnd w:id="379"/>
      <w:bookmarkEnd w:id="37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80" w:name="_Toc256000190"/>
      <w:bookmarkStart w:id="381" w:name="_Toc256000453"/>
      <w:r>
        <w:rPr>
          <w:b/>
          <w:i w:val="0"/>
        </w:rPr>
        <w:t>M16 — Сътрудничество (член 35)</w:t>
      </w:r>
      <w:bookmarkEnd w:id="381"/>
      <w:bookmarkEnd w:id="38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82" w:name="_Toc256000191"/>
      <w:bookmarkStart w:id="383" w:name="_Toc256000454"/>
      <w:r>
        <w:rPr>
          <w:b/>
          <w:i w:val="0"/>
        </w:rPr>
        <w:t>M19 — Подкрепа за местно развитие по LEADER (ВОМР — водено от общностите местно развитие) (член 35 от Регламент (ЕС) № 1303/2013)</w:t>
      </w:r>
      <w:bookmarkEnd w:id="383"/>
      <w:bookmarkEnd w:id="3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384" w:name="_Toc256000192"/>
      <w:bookmarkStart w:id="385" w:name="_Toc256000455"/>
      <w:r>
        <w:rPr>
          <w:b/>
          <w:i w:val="0"/>
        </w:rPr>
        <w:t>М20 — Техническа помощ държави членки (членове 51 — 54)</w:t>
      </w:r>
      <w:bookmarkEnd w:id="385"/>
      <w:bookmarkEnd w:id="38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00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386" w:name="_Toc256000193"/>
      <w:bookmarkStart w:id="387" w:name="_Toc256000456"/>
      <w:r>
        <w:t>Елементи, необходими за оценка на държавната помощ</w:t>
      </w:r>
      <w:bookmarkEnd w:id="387"/>
      <w:bookmarkEnd w:id="386"/>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325"/>
        <w:gridCol w:w="3331"/>
        <w:gridCol w:w="1809"/>
        <w:gridCol w:w="1926"/>
        <w:gridCol w:w="1828"/>
        <w:gridCol w:w="1801"/>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360 000,00</w:t>
            </w:r>
          </w:p>
        </w:tc>
        <w:tc>
          <w:tcPr>
            <w:tcW w:w="650" w:type="pct"/>
            <w:shd w:val="clear" w:color="auto" w:fill="FFFFFF"/>
            <w:noWrap w:val="0"/>
            <w:tcMar>
              <w:top w:w="60" w:type="dxa"/>
            </w:tcMar>
            <w:vAlign w:val="top"/>
          </w:tcPr>
          <w:p>
            <w:pPr>
              <w:jc w:val="right"/>
              <w:rPr>
                <w:b w:val="0"/>
                <w:sz w:val="16"/>
              </w:rPr>
            </w:pPr>
            <w:r>
              <w:rPr>
                <w:b w:val="0"/>
                <w:sz w:val="16"/>
              </w:rPr>
              <w:t>40 000,00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200" w:type="pct"/>
            <w:shd w:val="clear" w:color="auto" w:fill="FFFFFF"/>
            <w:noWrap w:val="0"/>
            <w:tcMar>
              <w:top w:w="60" w:type="dxa"/>
            </w:tcMar>
            <w:vAlign w:val="top"/>
          </w:tcPr>
          <w:p>
            <w:pPr>
              <w:jc w:val="left"/>
              <w:rPr>
                <w:b w:val="0"/>
                <w:sz w:val="16"/>
              </w:rPr>
            </w:pPr>
            <w:r>
              <w:rPr>
                <w:b w:val="0"/>
                <w:sz w:val="16"/>
              </w:rPr>
              <w:t>Помощ за горскоекологични услуги и услуги във връзка с климата в горското стопанство и опазване на горите</w:t>
            </w:r>
          </w:p>
        </w:tc>
        <w:tc>
          <w:tcPr>
            <w:tcW w:w="650" w:type="pct"/>
            <w:shd w:val="clear" w:color="auto" w:fill="FFFFFF"/>
            <w:noWrap w:val="0"/>
            <w:tcMar>
              <w:top w:w="60" w:type="dxa"/>
            </w:tcMar>
            <w:vAlign w:val="top"/>
          </w:tcPr>
          <w:p>
            <w:pPr>
              <w:jc w:val="right"/>
              <w:rPr>
                <w:b w:val="0"/>
                <w:sz w:val="16"/>
              </w:rPr>
            </w:pPr>
            <w:r>
              <w:rPr>
                <w:b w:val="0"/>
                <w:sz w:val="16"/>
              </w:rPr>
              <w:t>6 562 500,00</w:t>
            </w:r>
          </w:p>
        </w:tc>
        <w:tc>
          <w:tcPr>
            <w:tcW w:w="650" w:type="pct"/>
            <w:shd w:val="clear" w:color="auto" w:fill="FFFFFF"/>
            <w:noWrap w:val="0"/>
            <w:tcMar>
              <w:top w:w="60" w:type="dxa"/>
            </w:tcMar>
            <w:vAlign w:val="top"/>
          </w:tcPr>
          <w:p>
            <w:pPr>
              <w:jc w:val="right"/>
              <w:rPr>
                <w:b w:val="0"/>
                <w:sz w:val="16"/>
              </w:rPr>
            </w:pPr>
            <w:r>
              <w:rPr>
                <w:b w:val="0"/>
                <w:sz w:val="16"/>
              </w:rPr>
              <w:t>2 187 500,00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8 750 000,00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r>
              <w:rPr>
                <w:b w:val="0"/>
                <w:sz w:val="16"/>
              </w:rPr>
              <w:t>96 663 875,09</w:t>
            </w: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638 544 724,38</w:t>
            </w:r>
          </w:p>
        </w:tc>
        <w:tc>
          <w:tcPr>
            <w:tcW w:w="650" w:type="pct"/>
            <w:shd w:val="clear" w:color="auto" w:fill="C0C0C0"/>
            <w:noWrap w:val="0"/>
            <w:tcMar>
              <w:top w:w="60" w:type="dxa"/>
            </w:tcMar>
            <w:vAlign w:val="top"/>
          </w:tcPr>
          <w:p>
            <w:pPr>
              <w:jc w:val="right"/>
              <w:rPr>
                <w:b/>
                <w:sz w:val="16"/>
              </w:rPr>
            </w:pPr>
            <w:r>
              <w:rPr>
                <w:b/>
                <w:sz w:val="16"/>
              </w:rPr>
              <w:t>108 348 605,76</w:t>
            </w:r>
          </w:p>
        </w:tc>
        <w:tc>
          <w:tcPr>
            <w:tcW w:w="650" w:type="pct"/>
            <w:shd w:val="clear" w:color="auto" w:fill="C0C0C0"/>
            <w:noWrap w:val="0"/>
            <w:tcMar>
              <w:top w:w="60" w:type="dxa"/>
            </w:tcMar>
            <w:vAlign w:val="top"/>
          </w:tcPr>
          <w:p>
            <w:pPr>
              <w:jc w:val="right"/>
              <w:rPr>
                <w:b/>
                <w:sz w:val="16"/>
              </w:rPr>
            </w:pPr>
            <w:r>
              <w:rPr>
                <w:b/>
                <w:sz w:val="16"/>
              </w:rPr>
              <w:t>0,00</w:t>
            </w:r>
          </w:p>
        </w:tc>
        <w:tc>
          <w:tcPr>
            <w:tcW w:w="650" w:type="pct"/>
            <w:shd w:val="clear" w:color="auto" w:fill="C0C0C0"/>
            <w:noWrap w:val="0"/>
            <w:tcMar>
              <w:top w:w="60" w:type="dxa"/>
            </w:tcMar>
            <w:vAlign w:val="top"/>
          </w:tcPr>
          <w:p>
            <w:pPr>
              <w:jc w:val="right"/>
              <w:rPr>
                <w:b w:val="0"/>
                <w:sz w:val="16"/>
              </w:rPr>
            </w:pPr>
            <w:r>
              <w:rPr>
                <w:b/>
                <w:sz w:val="16"/>
              </w:rPr>
              <w:t>746 893 330,14</w:t>
            </w:r>
          </w:p>
        </w:tc>
      </w:tr>
    </w:tbl>
    <w:p>
      <w:pPr>
        <w:rPr>
          <w:b/>
        </w:rPr>
        <w:sectPr>
          <w:pgSz w:w="15840" w:h="12240" w:orient="landscape"/>
          <w:pgMar w:top="900" w:right="900" w:bottom="900" w:left="900" w:header="720" w:footer="720"/>
          <w:cols w:space="720"/>
        </w:sectPr>
      </w:pPr>
    </w:p>
    <w:p/>
    <w:p>
      <w:pPr>
        <w:pStyle w:val="Heading2"/>
      </w:pPr>
      <w:bookmarkStart w:id="388" w:name="_Toc256000194"/>
      <w:bookmarkStart w:id="389" w:name="_Toc256000457"/>
      <w:r>
        <w:t>М01 — Трансфер на знания и действия за осведомяване (член 14)</w:t>
      </w:r>
      <w:bookmarkEnd w:id="389"/>
      <w:bookmarkEnd w:id="388"/>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360 000,00</w:t>
      </w:r>
    </w:p>
    <w:p>
      <w:r>
        <w:t xml:space="preserve">Национално съфинансиране (в евро): </w:t>
      </w:r>
      <w:r>
        <w:t>40 000,00</w:t>
      </w:r>
    </w:p>
    <w:p>
      <w:r>
        <w:t xml:space="preserve">Допълнително национално финансиране (в евро): </w:t>
      </w:r>
    </w:p>
    <w:p>
      <w:r>
        <w:t xml:space="preserve">Общо (в EUR): </w:t>
      </w:r>
      <w:r>
        <w:t>400 000,00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390" w:name="_Toc256000195"/>
      <w:bookmarkStart w:id="391" w:name="_Toc256000458"/>
      <w:r>
        <w:t>М02 —  Консултантски услуги, услуги по управление на стопанство и услуги по заместване в стопанство (член 15)</w:t>
      </w:r>
      <w:bookmarkEnd w:id="391"/>
      <w:bookmarkEnd w:id="390"/>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392" w:name="_Toc256000196"/>
      <w:bookmarkStart w:id="393" w:name="_Toc256000459"/>
      <w:r>
        <w:t>М02 —  Консултантски услуги, услуги по управление на стопанство и услуги по заместване в стопанство (член 15)</w:t>
      </w:r>
      <w:bookmarkEnd w:id="393"/>
      <w:bookmarkEnd w:id="392"/>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394" w:name="_Toc256000197"/>
      <w:bookmarkStart w:id="395" w:name="_Toc256000460"/>
      <w:r>
        <w:t>M04 — Инвестиции в материални активи (член 17)</w:t>
      </w:r>
      <w:bookmarkEnd w:id="395"/>
      <w:bookmarkEnd w:id="394"/>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396" w:name="_Toc256000198"/>
      <w:bookmarkStart w:id="397" w:name="_Toc256000461"/>
      <w:r>
        <w:t>M06 — Развитие на стопанства и предприятия (член 19)</w:t>
      </w:r>
      <w:bookmarkEnd w:id="397"/>
      <w:bookmarkEnd w:id="396"/>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398" w:name="_Toc256000199"/>
      <w:bookmarkStart w:id="399" w:name="_Toc256000462"/>
      <w:r>
        <w:t>М07 — Основни услуги и обновяване на селата в селските райони (член 20)</w:t>
      </w:r>
      <w:bookmarkEnd w:id="399"/>
      <w:bookmarkEnd w:id="398"/>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400" w:name="_Toc256000200"/>
      <w:bookmarkStart w:id="401" w:name="_Toc256000463"/>
      <w:r>
        <w:t>М07 — Основни услуги и обновяване на селата в селските райони (член 20)</w:t>
      </w:r>
      <w:bookmarkEnd w:id="401"/>
      <w:bookmarkEnd w:id="400"/>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402" w:name="_Toc256000201"/>
      <w:bookmarkStart w:id="403" w:name="_Toc256000464"/>
      <w:r>
        <w:t>М07 — Основни услуги и обновяване на селата в селските райони (член 20)</w:t>
      </w:r>
      <w:bookmarkEnd w:id="403"/>
      <w:bookmarkEnd w:id="402"/>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404" w:name="_Toc256000202"/>
      <w:bookmarkStart w:id="405" w:name="_Toc256000465"/>
      <w:r>
        <w:t>М08 — Инвестиции в развитие на горските райони и подобряване на жизнеспособността на горите (членове 21 — 26)</w:t>
      </w:r>
      <w:bookmarkEnd w:id="405"/>
      <w:bookmarkEnd w:id="404"/>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06" w:name="_Toc256000203"/>
      <w:bookmarkStart w:id="407" w:name="_Toc256000466"/>
      <w:r>
        <w:t>М08 — Инвестиции в развитие на горските райони и подобряване на жизнеспособността на горите (членове 21 — 26)</w:t>
      </w:r>
      <w:bookmarkEnd w:id="407"/>
      <w:bookmarkEnd w:id="406"/>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08" w:name="_Toc256000204"/>
      <w:bookmarkStart w:id="409" w:name="_Toc256000467"/>
      <w:r>
        <w:t>М08 — Инвестиции в развитие на горските райони и подобряване на жизнеспособността на горите (членове 21 — 26)</w:t>
      </w:r>
      <w:bookmarkEnd w:id="409"/>
      <w:bookmarkEnd w:id="408"/>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0" w:name="_Toc256000205"/>
      <w:bookmarkStart w:id="411" w:name="_Toc256000468"/>
      <w:r>
        <w:t>М08 — Инвестиции в развитие на горските райони и подобряване на жизнеспособността на горите (членове 21 — 26)</w:t>
      </w:r>
      <w:bookmarkEnd w:id="411"/>
      <w:bookmarkEnd w:id="410"/>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2" w:name="_Toc256000206"/>
      <w:bookmarkStart w:id="413" w:name="_Toc256000469"/>
      <w:r>
        <w:t>M09 — Създаване на групи и организации на производителите (член 27)</w:t>
      </w:r>
      <w:bookmarkEnd w:id="413"/>
      <w:bookmarkEnd w:id="41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4" w:name="_Toc256000207"/>
      <w:bookmarkStart w:id="415" w:name="_Toc256000470"/>
      <w:r>
        <w:t>M10 — Агроекология и климат (член 28)</w:t>
      </w:r>
      <w:bookmarkEnd w:id="415"/>
      <w:bookmarkEnd w:id="4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6" w:name="_Toc256000208"/>
      <w:bookmarkStart w:id="417" w:name="_Toc256000471"/>
      <w:r>
        <w:t>М11 — Биологично земеделие (член 29)</w:t>
      </w:r>
      <w:bookmarkEnd w:id="417"/>
      <w:bookmarkEnd w:id="41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18" w:name="_Toc256000209"/>
      <w:bookmarkStart w:id="419" w:name="_Toc256000472"/>
      <w:r>
        <w:t>M12 — Плащания по „Натура 2000“ и Рамковата директива за водите (член 30)</w:t>
      </w:r>
      <w:bookmarkEnd w:id="419"/>
      <w:bookmarkEnd w:id="41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0" w:name="_Toc256000210"/>
      <w:bookmarkStart w:id="421" w:name="_Toc256000473"/>
      <w:r>
        <w:t>М13 — Плащания за райони, изправени пред природни или други специфични ограничения (член 31)</w:t>
      </w:r>
      <w:bookmarkEnd w:id="421"/>
      <w:bookmarkEnd w:id="420"/>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2" w:name="_Toc256000211"/>
      <w:bookmarkStart w:id="423" w:name="_Toc256000474"/>
      <w:r>
        <w:t>M14 — Хуманно отношение към животните (член 33)</w:t>
      </w:r>
      <w:bookmarkEnd w:id="423"/>
      <w:bookmarkEnd w:id="422"/>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4" w:name="_Toc256000212"/>
      <w:bookmarkStart w:id="425" w:name="_Toc256000475"/>
      <w:r>
        <w:t>М15 — Екологични услуги и услуги във връзка с климата в горското стопанство и опазване на горите (член 34)</w:t>
      </w:r>
      <w:bookmarkEnd w:id="425"/>
      <w:bookmarkEnd w:id="424"/>
    </w:p>
    <w:p>
      <w:r>
        <w:t>Наименование на схемата за помощ</w:t>
      </w:r>
      <w:r>
        <w:t>: Помощ за горскоекологични услуги и услуги във връзка с климата в горското стопанство и опазване на горите</w:t>
      </w:r>
    </w:p>
    <w:p>
      <w:r>
        <w:t xml:space="preserve">ЕЗФРСР (в евро): </w:t>
      </w:r>
      <w:r>
        <w:t>6 562 500,00</w:t>
      </w:r>
    </w:p>
    <w:p>
      <w:r>
        <w:t xml:space="preserve">Национално съфинансиране (в евро): </w:t>
      </w:r>
      <w:r>
        <w:t>2 187 500,00</w:t>
      </w:r>
    </w:p>
    <w:p>
      <w:r>
        <w:t xml:space="preserve">Допълнително национално финансиране (в евро): </w:t>
      </w:r>
    </w:p>
    <w:p>
      <w:r>
        <w:t xml:space="preserve">Общо (в EUR): </w:t>
      </w:r>
      <w:r>
        <w:t>8 750 000,00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15.1. „Плащания за горски екологични ангажименти“ и 15.2. „Подпомагане за запазване и поддръжка на горски генетични ресурси“.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6" w:name="_Toc256000213"/>
      <w:bookmarkStart w:id="427" w:name="_Toc256000476"/>
      <w:r>
        <w:t>M16 — Сътрудничество (член 35)</w:t>
      </w:r>
      <w:bookmarkEnd w:id="427"/>
      <w:bookmarkEnd w:id="426"/>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28" w:name="_Toc256000214"/>
      <w:bookmarkStart w:id="429" w:name="_Toc256000477"/>
      <w:r>
        <w:t>M16 — Сътрудничество (член 35)</w:t>
      </w:r>
      <w:bookmarkEnd w:id="429"/>
      <w:bookmarkEnd w:id="428"/>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430" w:name="_Toc256000215"/>
      <w:bookmarkStart w:id="431" w:name="_Toc256000478"/>
      <w:r>
        <w:t>M19 — Подкрепа за местно развитие по LEADER (ВОМР — водено от общностите местно развитие) (член 35 от Регламент (ЕС) № 1303/2013)</w:t>
      </w:r>
      <w:bookmarkEnd w:id="431"/>
      <w:bookmarkEnd w:id="430"/>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432" w:name="_Toc256000216"/>
      <w:bookmarkStart w:id="433" w:name="_Toc256000479"/>
      <w:r>
        <w:t>Информация относно взаимното допълване</w:t>
      </w:r>
      <w:bookmarkEnd w:id="433"/>
      <w:bookmarkEnd w:id="432"/>
    </w:p>
    <w:p>
      <w:pPr>
        <w:pStyle w:val="Heading2"/>
      </w:pPr>
      <w:bookmarkStart w:id="434" w:name="_Toc256000217"/>
      <w:bookmarkStart w:id="435" w:name="_Toc256000480"/>
      <w:r>
        <w:t>Описание на средствата за осигуряване на допълняемост и съгласуваност със:</w:t>
      </w:r>
      <w:bookmarkEnd w:id="435"/>
      <w:bookmarkEnd w:id="434"/>
      <w:r>
        <w:t xml:space="preserve"> </w:t>
      </w:r>
    </w:p>
    <w:p>
      <w:pPr>
        <w:pStyle w:val="Heading3"/>
        <w:jc w:val="left"/>
        <w:rPr>
          <w:b w:val="0"/>
        </w:rPr>
      </w:pPr>
      <w:bookmarkStart w:id="436" w:name="_Toc256000218"/>
      <w:bookmarkStart w:id="437" w:name="_Toc256000481"/>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437"/>
      <w:bookmarkEnd w:id="4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438" w:name="_Toc256000219"/>
      <w:bookmarkStart w:id="439" w:name="_Toc256000482"/>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439"/>
      <w:bookmarkEnd w:id="4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440" w:name="_Toc256000220"/>
      <w:bookmarkStart w:id="441" w:name="_Toc256000483"/>
      <w:r>
        <w:rPr>
          <w:b w:val="0"/>
        </w:rPr>
        <w:t>Когато е целесъобразно, информация за взаимното допълване с други финансови инструменти на Съюза, включително програма LIFE</w:t>
      </w:r>
      <w:bookmarkEnd w:id="441"/>
      <w:bookmarkEnd w:id="4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442" w:name="_Toc256000221"/>
      <w:bookmarkStart w:id="443" w:name="_Toc256000484"/>
      <w:r>
        <w:t>Организация за изпълнението на програмата</w:t>
      </w:r>
      <w:bookmarkEnd w:id="443"/>
      <w:bookmarkEnd w:id="442"/>
    </w:p>
    <w:p>
      <w:pPr>
        <w:pStyle w:val="Heading2"/>
      </w:pPr>
      <w:bookmarkStart w:id="444" w:name="_Toc256000222"/>
      <w:bookmarkStart w:id="445" w:name="_Toc256000485"/>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445"/>
      <w:bookmarkEnd w:id="444"/>
    </w:p>
    <w:p>
      <w:pPr>
        <w:pStyle w:val="Heading3"/>
        <w:jc w:val="left"/>
        <w:rPr>
          <w:b w:val="0"/>
        </w:rPr>
      </w:pPr>
      <w:bookmarkStart w:id="446" w:name="_Toc256000223"/>
      <w:bookmarkStart w:id="447" w:name="_Toc256000486"/>
      <w:r>
        <w:rPr>
          <w:b w:val="0"/>
        </w:rPr>
        <w:t>Органи</w:t>
      </w:r>
      <w:bookmarkEnd w:id="447"/>
      <w:bookmarkEnd w:id="4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92"/>
        <w:gridCol w:w="2011"/>
        <w:gridCol w:w="1792"/>
        <w:gridCol w:w="1792"/>
        <w:gridCol w:w="30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50" w:type="pct"/>
            <w:shd w:val="clear" w:color="auto" w:fill="C0C0C0"/>
            <w:noWrap w:val="0"/>
            <w:tcMar>
              <w:top w:w="60" w:type="dxa"/>
            </w:tcMar>
            <w:vAlign w:val="top"/>
          </w:tcPr>
          <w:p>
            <w:pPr>
              <w:jc w:val="center"/>
              <w:rPr>
                <w:b/>
                <w:sz w:val="20"/>
              </w:rPr>
            </w:pPr>
            <w:r>
              <w:rPr>
                <w:b/>
                <w:sz w:val="20"/>
              </w:rPr>
              <w:t>Орган</w:t>
            </w:r>
          </w:p>
        </w:tc>
        <w:tc>
          <w:tcPr>
            <w:tcW w:w="650" w:type="pct"/>
            <w:shd w:val="clear" w:color="auto" w:fill="C0C0C0"/>
            <w:noWrap w:val="0"/>
            <w:tcMar>
              <w:top w:w="60" w:type="dxa"/>
            </w:tcMar>
            <w:vAlign w:val="top"/>
          </w:tcPr>
          <w:p>
            <w:pPr>
              <w:jc w:val="center"/>
              <w:rPr>
                <w:b/>
                <w:sz w:val="20"/>
              </w:rPr>
            </w:pPr>
            <w:r>
              <w:rPr>
                <w:b/>
                <w:sz w:val="20"/>
              </w:rPr>
              <w:t>Наименование на органа</w:t>
            </w:r>
          </w:p>
        </w:tc>
        <w:tc>
          <w:tcPr>
            <w:tcW w:w="650" w:type="pct"/>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650" w:type="pct"/>
            <w:shd w:val="clear" w:color="auto" w:fill="C0C0C0"/>
            <w:noWrap w:val="0"/>
            <w:tcMar>
              <w:top w:w="60" w:type="dxa"/>
            </w:tcMar>
            <w:vAlign w:val="top"/>
          </w:tcPr>
          <w:p>
            <w:pPr>
              <w:jc w:val="center"/>
              <w:rPr>
                <w:b/>
                <w:sz w:val="20"/>
              </w:rPr>
            </w:pPr>
            <w:r>
              <w:rPr>
                <w:b/>
                <w:sz w:val="20"/>
              </w:rPr>
              <w:t>Адрес</w:t>
            </w:r>
          </w:p>
        </w:tc>
        <w:tc>
          <w:tcPr>
            <w:tcW w:w="650" w:type="pct"/>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Managing authority</w:t>
            </w:r>
          </w:p>
        </w:tc>
        <w:tc>
          <w:tcPr>
            <w:tcW w:w="650" w:type="pct"/>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 храните и горите.</w:t>
            </w:r>
          </w:p>
        </w:tc>
        <w:tc>
          <w:tcPr>
            <w:tcW w:w="650" w:type="pct"/>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650" w:type="pct"/>
            <w:shd w:val="clear" w:color="auto" w:fill="FFFFFF"/>
            <w:noWrap w:val="0"/>
            <w:tcMar>
              <w:top w:w="60" w:type="dxa"/>
            </w:tcMar>
            <w:vAlign w:val="top"/>
          </w:tcPr>
          <w:p>
            <w:pPr>
              <w:jc w:val="left"/>
              <w:rPr>
                <w:b w:val="0"/>
                <w:sz w:val="16"/>
              </w:rPr>
            </w:pPr>
            <w:r>
              <w:rPr>
                <w:b w:val="0"/>
                <w:sz w:val="16"/>
              </w:rPr>
              <w:t>бул. "Христо Ботев" 55, София 1040</w:t>
            </w:r>
          </w:p>
        </w:tc>
        <w:tc>
          <w:tcPr>
            <w:tcW w:w="650" w:type="pct"/>
            <w:shd w:val="clear" w:color="auto" w:fill="FFFFFF"/>
            <w:noWrap w:val="0"/>
            <w:tcMar>
              <w:top w:w="60" w:type="dxa"/>
            </w:tcMar>
            <w:vAlign w:val="top"/>
          </w:tcPr>
          <w:p>
            <w:pPr>
              <w:jc w:val="left"/>
              <w:rPr>
                <w:b w:val="0"/>
                <w:sz w:val="16"/>
              </w:rPr>
            </w:pPr>
            <w:r>
              <w:rPr>
                <w:b w:val="0"/>
                <w:sz w:val="16"/>
              </w:rPr>
              <w:t>AVAsparuhov@mzh.government.bg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Certification body</w:t>
            </w:r>
          </w:p>
        </w:tc>
        <w:tc>
          <w:tcPr>
            <w:tcW w:w="650" w:type="pct"/>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 „Витоша“ 15, София 1000</w:t>
            </w:r>
          </w:p>
        </w:tc>
        <w:tc>
          <w:tcPr>
            <w:tcW w:w="650" w:type="pct"/>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650" w:type="pct"/>
            <w:shd w:val="clear" w:color="auto" w:fill="FFFFFF"/>
            <w:noWrap w:val="0"/>
            <w:tcMar>
              <w:top w:w="60" w:type="dxa"/>
            </w:tcMar>
            <w:vAlign w:val="top"/>
          </w:tcPr>
          <w:p>
            <w:pPr>
              <w:jc w:val="left"/>
              <w:rPr>
                <w:b w:val="0"/>
                <w:sz w:val="16"/>
              </w:rPr>
            </w:pPr>
            <w:r>
              <w:rPr>
                <w:b w:val="0"/>
                <w:sz w:val="16"/>
              </w:rPr>
              <w:t>Accredited paying agency</w:t>
            </w:r>
          </w:p>
        </w:tc>
        <w:tc>
          <w:tcPr>
            <w:tcW w:w="650" w:type="pct"/>
            <w:shd w:val="clear" w:color="auto" w:fill="FFFFFF"/>
            <w:noWrap w:val="0"/>
            <w:tcMar>
              <w:top w:w="60" w:type="dxa"/>
            </w:tcMar>
            <w:vAlign w:val="top"/>
          </w:tcPr>
          <w:p>
            <w:pPr>
              <w:jc w:val="left"/>
              <w:rPr>
                <w:b w:val="0"/>
                <w:sz w:val="16"/>
              </w:rPr>
            </w:pPr>
            <w:r>
              <w:rPr>
                <w:b w:val="0"/>
                <w:sz w:val="16"/>
              </w:rPr>
              <w:t>Държавен Фонд "Земеделие" - РА</w:t>
            </w:r>
          </w:p>
        </w:tc>
        <w:tc>
          <w:tcPr>
            <w:tcW w:w="650" w:type="pct"/>
            <w:shd w:val="clear" w:color="auto" w:fill="FFFFFF"/>
            <w:noWrap w:val="0"/>
            <w:tcMar>
              <w:top w:w="60" w:type="dxa"/>
            </w:tcMar>
            <w:vAlign w:val="top"/>
          </w:tcPr>
          <w:p>
            <w:pPr>
              <w:jc w:val="left"/>
              <w:rPr>
                <w:b w:val="0"/>
                <w:sz w:val="16"/>
              </w:rPr>
            </w:pPr>
            <w:r>
              <w:rPr>
                <w:b w:val="0"/>
                <w:sz w:val="16"/>
              </w:rPr>
              <w:t>Изпълнителен директор</w:t>
            </w:r>
          </w:p>
        </w:tc>
        <w:tc>
          <w:tcPr>
            <w:tcW w:w="650" w:type="pct"/>
            <w:shd w:val="clear" w:color="auto" w:fill="FFFFFF"/>
            <w:noWrap w:val="0"/>
            <w:tcMar>
              <w:top w:w="60" w:type="dxa"/>
            </w:tcMar>
            <w:vAlign w:val="top"/>
          </w:tcPr>
          <w:p>
            <w:pPr>
              <w:jc w:val="left"/>
              <w:rPr>
                <w:b w:val="0"/>
                <w:sz w:val="16"/>
              </w:rPr>
            </w:pPr>
            <w:r>
              <w:rPr>
                <w:b w:val="0"/>
                <w:sz w:val="16"/>
              </w:rPr>
              <w:t>бул."Цар Борис III" 136, София 1618</w:t>
            </w:r>
          </w:p>
        </w:tc>
        <w:tc>
          <w:tcPr>
            <w:tcW w:w="650" w:type="pct"/>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448" w:name="_Toc256000224"/>
      <w:bookmarkStart w:id="449" w:name="_Toc256000487"/>
      <w:r>
        <w:rPr>
          <w:b w:val="0"/>
        </w:rPr>
        <w:t>Кратко описание на структурата за управление и контрол на програмата и на процедурите за независимо разглеждане на жалби</w:t>
      </w:r>
      <w:bookmarkEnd w:id="449"/>
      <w:bookmarkEnd w:id="448"/>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450" w:name="_Toc256000225"/>
      <w:bookmarkStart w:id="451" w:name="_Toc256000488"/>
      <w:r>
        <w:rPr>
          <w:b w:val="0"/>
        </w:rPr>
        <w:t>Предлаган състав на мониторинговия комитет</w:t>
      </w:r>
      <w:bookmarkEnd w:id="451"/>
      <w:bookmarkEnd w:id="4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452" w:name="_Toc256000226"/>
      <w:bookmarkStart w:id="453" w:name="_Toc256000489"/>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453"/>
      <w:bookmarkEnd w:id="4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numPr>
                <w:ilvl w:val="0"/>
                <w:numId w:val="5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2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2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2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2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454" w:name="_Toc256000227"/>
      <w:bookmarkStart w:id="455" w:name="_Toc256000490"/>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455"/>
      <w:bookmarkEnd w:id="4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456" w:name="_Toc256000228"/>
      <w:bookmarkStart w:id="457" w:name="_Toc256000491"/>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457"/>
      <w:bookmarkEnd w:id="4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3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3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3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458" w:name="_Toc256000229"/>
      <w:bookmarkStart w:id="459" w:name="_Toc256000492"/>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459"/>
      <w:bookmarkEnd w:id="4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4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4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4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44"/>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4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4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4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4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РСР - УО на ПРСР;</w:t>
            </w:r>
          </w:p>
          <w:p>
            <w:pPr>
              <w:numPr>
                <w:ilvl w:val="0"/>
                <w:numId w:val="5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460" w:name="_Toc256000230"/>
      <w:bookmarkStart w:id="461" w:name="_Toc256000493"/>
      <w:r>
        <w:t>Списък на действията за привличане на партньорите</w:t>
      </w:r>
      <w:bookmarkEnd w:id="461"/>
      <w:bookmarkEnd w:id="460"/>
    </w:p>
    <w:p>
      <w:pPr>
        <w:pStyle w:val="Heading2"/>
      </w:pPr>
      <w:bookmarkStart w:id="462" w:name="_Toc256000231"/>
      <w:bookmarkStart w:id="463" w:name="_Toc256000494"/>
      <w:r>
        <w:t>16.1.1.Създаване на Тематична работна група (ТРГ) за разработване на ПРСР(2014-2020) с участие на партньорите</w:t>
      </w:r>
      <w:bookmarkEnd w:id="463"/>
      <w:bookmarkEnd w:id="462"/>
    </w:p>
    <w:p>
      <w:pPr>
        <w:pStyle w:val="Heading3"/>
        <w:jc w:val="left"/>
        <w:rPr>
          <w:b w:val="0"/>
        </w:rPr>
      </w:pPr>
      <w:bookmarkStart w:id="464" w:name="_Toc256000232"/>
      <w:bookmarkStart w:id="465" w:name="_Toc256000495"/>
      <w:r>
        <w:rPr>
          <w:b w:val="0"/>
        </w:rPr>
        <w:t>Предмет на съответната консултация</w:t>
      </w:r>
      <w:bookmarkEnd w:id="465"/>
      <w:bookmarkEnd w:id="4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466" w:name="_Toc256000233"/>
      <w:bookmarkStart w:id="467" w:name="_Toc256000496"/>
      <w:r>
        <w:rPr>
          <w:b w:val="0"/>
        </w:rPr>
        <w:t>Обобщение на резултатите</w:t>
      </w:r>
      <w:bookmarkEnd w:id="467"/>
      <w:bookmarkEnd w:id="46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468" w:name="_Toc256000234"/>
      <w:bookmarkStart w:id="469" w:name="_Toc256000497"/>
      <w:r>
        <w:rPr>
          <w:b w:val="0"/>
        </w:rPr>
        <w:t>16.1.2. Провеждане на 7 заседания на ТРГ.</w:t>
      </w:r>
      <w:bookmarkEnd w:id="469"/>
      <w:bookmarkEnd w:id="468"/>
    </w:p>
    <w:p>
      <w:pPr>
        <w:pStyle w:val="Heading3"/>
        <w:jc w:val="left"/>
        <w:rPr>
          <w:b w:val="0"/>
        </w:rPr>
      </w:pPr>
      <w:bookmarkStart w:id="470" w:name="_Toc256000235"/>
      <w:bookmarkStart w:id="471" w:name="_Toc256000498"/>
      <w:r>
        <w:rPr>
          <w:b w:val="0"/>
        </w:rPr>
        <w:t>Предмет на съответната консултация</w:t>
      </w:r>
      <w:bookmarkEnd w:id="471"/>
      <w:bookmarkEnd w:id="47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472" w:name="_Toc256000236"/>
      <w:bookmarkStart w:id="473" w:name="_Toc256000499"/>
      <w:r>
        <w:rPr>
          <w:b w:val="0"/>
        </w:rPr>
        <w:t>Обобщение на резултатите</w:t>
      </w:r>
      <w:bookmarkEnd w:id="473"/>
      <w:bookmarkEnd w:id="47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474" w:name="_Toc256000237"/>
      <w:bookmarkStart w:id="475" w:name="_Toc256000500"/>
      <w:r>
        <w:rPr>
          <w:b w:val="0"/>
        </w:rPr>
        <w:t>16.1.3. Сформиране на фокус групи</w:t>
      </w:r>
      <w:bookmarkEnd w:id="475"/>
      <w:bookmarkEnd w:id="474"/>
    </w:p>
    <w:p>
      <w:pPr>
        <w:pStyle w:val="Heading3"/>
        <w:jc w:val="left"/>
        <w:rPr>
          <w:b w:val="0"/>
        </w:rPr>
      </w:pPr>
      <w:bookmarkStart w:id="476" w:name="_Toc256000238"/>
      <w:bookmarkStart w:id="477" w:name="_Toc256000501"/>
      <w:r>
        <w:rPr>
          <w:b w:val="0"/>
        </w:rPr>
        <w:t>Предмет на съответната консултация</w:t>
      </w:r>
      <w:bookmarkEnd w:id="477"/>
      <w:bookmarkEnd w:id="47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478" w:name="_Toc256000239"/>
      <w:bookmarkStart w:id="479" w:name="_Toc256000502"/>
      <w:r>
        <w:rPr>
          <w:b w:val="0"/>
        </w:rPr>
        <w:t>Обобщение на резултатите</w:t>
      </w:r>
      <w:bookmarkEnd w:id="479"/>
      <w:bookmarkEnd w:id="47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480" w:name="_Toc256000240"/>
      <w:bookmarkStart w:id="481" w:name="_Toc256000503"/>
      <w:r>
        <w:rPr>
          <w:b w:val="0"/>
        </w:rPr>
        <w:t>16.1.4.Привличане на партньори със съвещателен глас</w:t>
      </w:r>
      <w:bookmarkEnd w:id="481"/>
      <w:bookmarkEnd w:id="480"/>
    </w:p>
    <w:p>
      <w:pPr>
        <w:pStyle w:val="Heading3"/>
        <w:jc w:val="left"/>
        <w:rPr>
          <w:b w:val="0"/>
        </w:rPr>
      </w:pPr>
      <w:bookmarkStart w:id="482" w:name="_Toc256000241"/>
      <w:bookmarkStart w:id="483" w:name="_Toc256000504"/>
      <w:r>
        <w:rPr>
          <w:b w:val="0"/>
        </w:rPr>
        <w:t>Предмет на съответната консултация</w:t>
      </w:r>
      <w:bookmarkEnd w:id="483"/>
      <w:bookmarkEnd w:id="48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484" w:name="_Toc256000242"/>
      <w:bookmarkStart w:id="485" w:name="_Toc256000505"/>
      <w:r>
        <w:rPr>
          <w:b w:val="0"/>
        </w:rPr>
        <w:t>Обобщение на резултатите</w:t>
      </w:r>
      <w:bookmarkEnd w:id="485"/>
      <w:bookmarkEnd w:id="48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486" w:name="_Toc256000243"/>
      <w:bookmarkStart w:id="487" w:name="_Toc256000506"/>
      <w:r>
        <w:rPr>
          <w:b w:val="0"/>
        </w:rPr>
        <w:t>16.1.5.Представяне на ПРСР на три заседания на КН</w:t>
      </w:r>
      <w:bookmarkEnd w:id="487"/>
      <w:bookmarkEnd w:id="486"/>
    </w:p>
    <w:p>
      <w:pPr>
        <w:pStyle w:val="Heading3"/>
        <w:jc w:val="left"/>
        <w:rPr>
          <w:b w:val="0"/>
        </w:rPr>
      </w:pPr>
      <w:bookmarkStart w:id="488" w:name="_Toc256000244"/>
      <w:bookmarkStart w:id="489" w:name="_Toc256000507"/>
      <w:r>
        <w:rPr>
          <w:b w:val="0"/>
        </w:rPr>
        <w:t>Предмет на съответната консултация</w:t>
      </w:r>
      <w:bookmarkEnd w:id="489"/>
      <w:bookmarkEnd w:id="48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490" w:name="_Toc256000245"/>
      <w:bookmarkStart w:id="491" w:name="_Toc256000508"/>
      <w:r>
        <w:rPr>
          <w:b w:val="0"/>
        </w:rPr>
        <w:t>Обобщение на резултатите</w:t>
      </w:r>
      <w:bookmarkEnd w:id="491"/>
      <w:bookmarkEnd w:id="49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492" w:name="_Toc256000246"/>
      <w:bookmarkStart w:id="493" w:name="_Toc256000509"/>
      <w:r>
        <w:rPr>
          <w:b w:val="0"/>
        </w:rPr>
        <w:t>16.1.6.Достъп до информация, прозрачност</w:t>
      </w:r>
      <w:bookmarkEnd w:id="493"/>
      <w:bookmarkEnd w:id="492"/>
    </w:p>
    <w:p>
      <w:pPr>
        <w:pStyle w:val="Heading3"/>
        <w:jc w:val="left"/>
        <w:rPr>
          <w:b w:val="0"/>
        </w:rPr>
      </w:pPr>
      <w:bookmarkStart w:id="494" w:name="_Toc256000247"/>
      <w:bookmarkStart w:id="495" w:name="_Toc256000510"/>
      <w:r>
        <w:rPr>
          <w:b w:val="0"/>
        </w:rPr>
        <w:t>Предмет на съответната консултация</w:t>
      </w:r>
      <w:bookmarkEnd w:id="495"/>
      <w:bookmarkEnd w:id="49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496" w:name="_Toc256000248"/>
      <w:bookmarkStart w:id="497" w:name="_Toc256000511"/>
      <w:r>
        <w:rPr>
          <w:b w:val="0"/>
        </w:rPr>
        <w:t>Обобщение на резултатите</w:t>
      </w:r>
      <w:bookmarkEnd w:id="497"/>
      <w:bookmarkEnd w:id="49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498" w:name="_Toc256000249"/>
      <w:bookmarkStart w:id="499" w:name="_Toc256000512"/>
      <w:r>
        <w:rPr>
          <w:b w:val="0"/>
        </w:rPr>
        <w:t>(Незадължително) разяснения или допълнителна информация за допълване на списъка с действия</w:t>
      </w:r>
      <w:bookmarkEnd w:id="499"/>
      <w:bookmarkEnd w:id="4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5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5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500" w:name="_Toc256000250"/>
      <w:bookmarkStart w:id="501" w:name="_Toc256000513"/>
      <w:r>
        <w:t>Национална мрежа за селските райони</w:t>
      </w:r>
      <w:bookmarkEnd w:id="501"/>
      <w:bookmarkEnd w:id="500"/>
    </w:p>
    <w:p>
      <w:pPr>
        <w:pStyle w:val="Heading2"/>
      </w:pPr>
      <w:bookmarkStart w:id="502" w:name="_Toc256000251"/>
      <w:bookmarkStart w:id="503" w:name="_Toc256000514"/>
      <w:r>
        <w:t>Процедура и график за създаването на националната мрежа за селските райони („НМСР“)</w:t>
      </w:r>
      <w:bookmarkEnd w:id="503"/>
      <w:bookmarkEnd w:id="50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504" w:name="_Toc256000252"/>
      <w:bookmarkStart w:id="505" w:name="_Toc256000515"/>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505"/>
      <w:bookmarkEnd w:id="50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506" w:name="_Toc256000253"/>
      <w:bookmarkStart w:id="507" w:name="_Toc256000516"/>
      <w:r>
        <w:t>Обобщено описание на основните категории дейности на националната мрежа за селските райони в съответствие с целите на програмата</w:t>
      </w:r>
      <w:bookmarkEnd w:id="507"/>
      <w:bookmarkEnd w:id="50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1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986932" name=""/>
                          <pic:cNvPicPr>
                            <a:picLocks noChangeAspect="1"/>
                          </pic:cNvPicPr>
                        </pic:nvPicPr>
                        <pic:blipFill>
                          <a:blip xmlns:r="http://schemas.openxmlformats.org/officeDocument/2006/relationships" r:embed="rId21"/>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508" w:name="_Toc256000254"/>
      <w:bookmarkStart w:id="509" w:name="_Toc256000517"/>
      <w:r>
        <w:t>Налични ресурси за създаването и привеждането в действие на националната мрежа за селските райони</w:t>
      </w:r>
      <w:bookmarkEnd w:id="509"/>
      <w:bookmarkEnd w:id="50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510" w:name="_Toc256000255"/>
      <w:bookmarkStart w:id="511" w:name="_Toc256000518"/>
      <w:r>
        <w:t>Предварителна оценка на доказуемостта и на възможността за контрол, както и на риска от грешки</w:t>
      </w:r>
      <w:bookmarkEnd w:id="511"/>
      <w:bookmarkEnd w:id="510"/>
    </w:p>
    <w:p>
      <w:pPr>
        <w:pStyle w:val="Heading2"/>
      </w:pPr>
      <w:bookmarkStart w:id="512" w:name="_Toc256000256"/>
      <w:bookmarkStart w:id="513" w:name="_Toc256000519"/>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513"/>
      <w:bookmarkEnd w:id="51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6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6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6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6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514" w:name="_Toc256000257"/>
      <w:bookmarkStart w:id="515" w:name="_Toc256000520"/>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515"/>
      <w:bookmarkEnd w:id="51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516" w:name="_Toc256000258"/>
      <w:bookmarkStart w:id="517" w:name="_Toc256000521"/>
      <w:r>
        <w:t>Преходни условия</w:t>
      </w:r>
      <w:bookmarkEnd w:id="517"/>
      <w:bookmarkEnd w:id="516"/>
    </w:p>
    <w:p>
      <w:pPr>
        <w:pStyle w:val="Heading2"/>
      </w:pPr>
      <w:bookmarkStart w:id="518" w:name="_Toc256000259"/>
      <w:bookmarkStart w:id="519" w:name="_Toc256000522"/>
      <w:r>
        <w:t>Описание на преходните условия по мерки</w:t>
      </w:r>
      <w:bookmarkEnd w:id="519"/>
      <w:bookmarkEnd w:id="5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650" w:type="pct"/>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6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520" w:name="_Toc256000260"/>
      <w:bookmarkStart w:id="521" w:name="_Toc256000523"/>
      <w:r>
        <w:t>Ориентировъчна таблица за пренос на средства</w:t>
      </w:r>
      <w:bookmarkEnd w:id="521"/>
      <w:bookmarkEnd w:id="5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36"/>
        <w:gridCol w:w="20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от Съюза за периода 2014—2020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М15 — Екологични услуги и услуги във връзка с климата в горското стопанство и опазване на горите (член 34)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522" w:name="_Toc256000261"/>
      <w:bookmarkStart w:id="523" w:name="_Toc256000524"/>
      <w:r>
        <w:t>Тематични подпрограми</w:t>
      </w:r>
      <w:bookmarkEnd w:id="523"/>
      <w:bookmarkEnd w:id="5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402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524" w:name="_Toc256000262"/>
      <w:bookmarkStart w:id="525" w:name="_Toc256000525"/>
      <w:r>
        <w:rPr>
          <w:b w:val="0"/>
          <w:i w:val="0"/>
        </w:rPr>
        <w:t>Документи</w:t>
      </w:r>
      <w:bookmarkEnd w:id="525"/>
      <w:bookmarkEnd w:id="5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306"/>
        <w:gridCol w:w="1457"/>
        <w:gridCol w:w="1224"/>
        <w:gridCol w:w="1313"/>
        <w:gridCol w:w="1555"/>
        <w:gridCol w:w="1266"/>
        <w:gridCol w:w="3403"/>
        <w:gridCol w:w="1263"/>
        <w:gridCol w:w="1233"/>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17-04-2019</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Ares(2019)2671710</w:t>
            </w:r>
          </w:p>
        </w:tc>
        <w:tc>
          <w:tcPr>
            <w:tcW w:w="2000" w:type="pct"/>
            <w:shd w:val="clear" w:color="auto" w:fill="FFFFFF"/>
            <w:noWrap w:val="0"/>
            <w:tcMar>
              <w:top w:w="60" w:type="dxa"/>
            </w:tcMar>
            <w:vAlign w:val="top"/>
          </w:tcPr>
          <w:p>
            <w:pPr>
              <w:jc w:val="left"/>
              <w:rPr>
                <w:b w:val="0"/>
                <w:i w:val="0"/>
                <w:sz w:val="16"/>
              </w:rPr>
            </w:pPr>
            <w:r>
              <w:rPr>
                <w:b w:val="0"/>
                <w:i w:val="0"/>
                <w:sz w:val="16"/>
              </w:rPr>
              <w:t>4153749799</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17-04-2019</w:t>
            </w:r>
          </w:p>
        </w:tc>
        <w:tc>
          <w:tcPr>
            <w:tcW w:w="2000" w:type="pct"/>
            <w:shd w:val="clear" w:color="auto" w:fill="FFFFFF"/>
            <w:noWrap w:val="0"/>
            <w:tcMar>
              <w:top w:w="60" w:type="dxa"/>
            </w:tcMar>
            <w:vAlign w:val="top"/>
          </w:tcPr>
          <w:p>
            <w:pPr>
              <w:jc w:val="left"/>
              <w:rPr>
                <w:b w:val="0"/>
                <w:i w:val="0"/>
                <w:sz w:val="16"/>
              </w:rPr>
            </w:pPr>
            <w:r>
              <w:rPr>
                <w:b w:val="0"/>
                <w:i w:val="0"/>
                <w:sz w:val="16"/>
              </w:rPr>
              <w:t>nstaykts</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Ares(2019)2671710</w:t>
            </w:r>
          </w:p>
        </w:tc>
        <w:tc>
          <w:tcPr>
            <w:tcW w:w="2000" w:type="pct"/>
            <w:shd w:val="clear" w:color="auto" w:fill="FFFFFF"/>
            <w:noWrap w:val="0"/>
            <w:tcMar>
              <w:top w:w="60" w:type="dxa"/>
            </w:tcMar>
            <w:vAlign w:val="top"/>
          </w:tcPr>
          <w:p>
            <w:pPr>
              <w:jc w:val="left"/>
              <w:rPr>
                <w:b w:val="0"/>
                <w:i w:val="0"/>
                <w:sz w:val="16"/>
              </w:rPr>
            </w:pPr>
            <w:r>
              <w:rPr>
                <w:b w:val="0"/>
                <w:i w:val="0"/>
                <w:sz w:val="16"/>
              </w:rPr>
              <w:t>1287786054</w:t>
            </w:r>
          </w:p>
        </w:tc>
        <w:tc>
          <w:tcPr>
            <w:tcW w:w="2000" w:type="pct"/>
            <w:shd w:val="clear" w:color="auto" w:fill="FFFFFF"/>
            <w:noWrap w:val="0"/>
            <w:tcMar>
              <w:top w:w="60" w:type="dxa"/>
            </w:tcMar>
            <w:vAlign w:val="top"/>
          </w:tcPr>
          <w:p>
            <w:pPr>
              <w:jc w:val="left"/>
              <w:rPr>
                <w:b w:val="0"/>
                <w:i w:val="0"/>
                <w:sz w:val="16"/>
              </w:rPr>
            </w:pPr>
            <w:r>
              <w:rPr>
                <w:b w:val="0"/>
                <w:i w:val="0"/>
                <w:sz w:val="16"/>
              </w:rPr>
              <w:t xml:space="preserve">Приложение към Раздел 3_Преглед на препоръките_ резюме </w:t>
            </w:r>
          </w:p>
          <w:p>
            <w:pPr>
              <w:jc w:val="left"/>
              <w:rPr>
                <w:b w:val="0"/>
                <w:i w:val="0"/>
                <w:sz w:val="16"/>
              </w:rPr>
            </w:pPr>
            <w:r>
              <w:rPr>
                <w:b w:val="0"/>
                <w:i w:val="0"/>
                <w:sz w:val="16"/>
              </w:rPr>
              <w:t xml:space="preserve">Приложение към раздел 3_Обобщена справка за съответствието на ПРСР с постановеното в Становището на МОСВ за ЕО </w:t>
            </w:r>
          </w:p>
          <w:p>
            <w:pPr>
              <w:jc w:val="left"/>
              <w:rPr>
                <w:b w:val="0"/>
                <w:i w:val="0"/>
                <w:sz w:val="16"/>
              </w:rPr>
            </w:pPr>
            <w:r>
              <w:rPr>
                <w:b w:val="0"/>
                <w:i w:val="0"/>
                <w:sz w:val="16"/>
              </w:rPr>
              <w:t xml:space="preserve">Приложение към Раздел 3_Таблица с препоръките от предварителната оценка </w:t>
            </w:r>
          </w:p>
          <w:p>
            <w:pPr>
              <w:jc w:val="left"/>
              <w:rPr>
                <w:b w:val="0"/>
                <w:i w:val="0"/>
                <w:sz w:val="16"/>
              </w:rPr>
            </w:pPr>
            <w:r>
              <w:rPr>
                <w:b w:val="0"/>
                <w:i w:val="0"/>
                <w:sz w:val="16"/>
              </w:rPr>
              <w:t xml:space="preserve">Приложение към Раздел 3_SEA_RDP </w:t>
            </w:r>
          </w:p>
          <w:p>
            <w:pPr>
              <w:jc w:val="left"/>
              <w:rPr>
                <w:b w:val="0"/>
                <w:i w:val="0"/>
                <w:sz w:val="16"/>
              </w:rPr>
            </w:pPr>
            <w:r>
              <w:rPr>
                <w:b w:val="0"/>
                <w:i w:val="0"/>
                <w:sz w:val="16"/>
              </w:rPr>
              <w:t xml:space="preserve">Приложение към раздел 3_Нетехническо резюме на информацията от Доклада по екологична оценка </w:t>
            </w:r>
          </w:p>
          <w:p>
            <w:pPr>
              <w:jc w:val="left"/>
              <w:rPr>
                <w:b w:val="0"/>
                <w:i w:val="0"/>
                <w:sz w:val="16"/>
              </w:rPr>
            </w:pPr>
            <w:r>
              <w:rPr>
                <w:b w:val="0"/>
                <w:i w:val="0"/>
                <w:sz w:val="16"/>
              </w:rPr>
              <w:t xml:space="preserve">Приложение към раздел 3_Информация за проведените консултации с обществеността  по опазване на околната среда </w:t>
            </w:r>
          </w:p>
          <w:p>
            <w:pPr>
              <w:jc w:val="left"/>
              <w:rPr>
                <w:b w:val="0"/>
                <w:i w:val="0"/>
                <w:sz w:val="16"/>
              </w:rPr>
            </w:pPr>
            <w:r>
              <w:rPr>
                <w:b w:val="0"/>
                <w:i w:val="0"/>
                <w:sz w:val="16"/>
              </w:rPr>
              <w:t>Приложение към раздел 3_FINAL Ex ante report BG RDP 2014-2020_BG</w:t>
            </w:r>
          </w:p>
        </w:tc>
        <w:tc>
          <w:tcPr>
            <w:tcW w:w="2000" w:type="pct"/>
            <w:shd w:val="clear" w:color="auto" w:fill="FFFFFF"/>
            <w:noWrap w:val="0"/>
            <w:tcMar>
              <w:top w:w="60" w:type="dxa"/>
            </w:tcMar>
            <w:vAlign w:val="top"/>
          </w:tcPr>
          <w:p>
            <w:pPr>
              <w:jc w:val="left"/>
              <w:rPr>
                <w:b w:val="0"/>
                <w:i w:val="0"/>
                <w:sz w:val="16"/>
              </w:rPr>
            </w:pPr>
            <w:r>
              <w:rPr>
                <w:b w:val="0"/>
                <w:i w:val="0"/>
                <w:sz w:val="16"/>
              </w:rPr>
              <w:t>17-04-2019</w:t>
            </w:r>
          </w:p>
        </w:tc>
        <w:tc>
          <w:tcPr>
            <w:tcW w:w="2000" w:type="pct"/>
            <w:shd w:val="clear" w:color="auto" w:fill="FFFFFF"/>
            <w:noWrap w:val="0"/>
            <w:tcMar>
              <w:top w:w="60" w:type="dxa"/>
            </w:tcMar>
            <w:vAlign w:val="top"/>
          </w:tcPr>
          <w:p>
            <w:pPr>
              <w:jc w:val="left"/>
              <w:rPr>
                <w:b w:val="0"/>
                <w:i w:val="0"/>
                <w:sz w:val="16"/>
              </w:rPr>
            </w:pPr>
            <w:r>
              <w:rPr>
                <w:b w:val="0"/>
                <w:i w:val="0"/>
                <w:sz w:val="16"/>
              </w:rPr>
              <w:t>nstaykts</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27-12-2018</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Ares(2019)2671710</w:t>
            </w:r>
          </w:p>
        </w:tc>
        <w:tc>
          <w:tcPr>
            <w:tcW w:w="2000" w:type="pct"/>
            <w:shd w:val="clear" w:color="auto" w:fill="FFFFFF"/>
            <w:noWrap w:val="0"/>
            <w:tcMar>
              <w:top w:w="60" w:type="dxa"/>
            </w:tcMar>
            <w:vAlign w:val="top"/>
          </w:tcPr>
          <w:p>
            <w:pPr>
              <w:jc w:val="left"/>
              <w:rPr>
                <w:b w:val="0"/>
                <w:i w:val="0"/>
                <w:sz w:val="16"/>
              </w:rPr>
            </w:pPr>
            <w:r>
              <w:rPr>
                <w:b w:val="0"/>
                <w:i w:val="0"/>
                <w:sz w:val="16"/>
              </w:rPr>
              <w:t>3374910391</w:t>
            </w:r>
          </w:p>
        </w:tc>
        <w:tc>
          <w:tcPr>
            <w:tcW w:w="2000" w:type="pct"/>
            <w:shd w:val="clear" w:color="auto" w:fill="FFFFFF"/>
            <w:noWrap w:val="0"/>
            <w:tcMar>
              <w:top w:w="60" w:type="dxa"/>
            </w:tcMar>
            <w:vAlign w:val="top"/>
          </w:tcPr>
          <w:p>
            <w:pPr>
              <w:jc w:val="left"/>
              <w:rPr>
                <w:b w:val="0"/>
                <w:i w:val="0"/>
                <w:sz w:val="16"/>
              </w:rPr>
            </w:pPr>
            <w:r>
              <w:rPr>
                <w:b w:val="0"/>
                <w:i w:val="0"/>
                <w:sz w:val="16"/>
              </w:rPr>
              <w:t>Tematichna+podprograma+za+malki+stopanstva</w:t>
            </w:r>
          </w:p>
          <w:p>
            <w:pPr>
              <w:jc w:val="left"/>
              <w:rPr>
                <w:b w:val="0"/>
                <w:i w:val="0"/>
                <w:sz w:val="16"/>
              </w:rPr>
            </w:pPr>
            <w:r>
              <w:rPr>
                <w:b w:val="0"/>
                <w:i w:val="0"/>
                <w:sz w:val="16"/>
              </w:rPr>
              <w:t>Tematichna podprograma za malki stopanstva-2015-1-20-razpred finans sredstva</w:t>
            </w:r>
          </w:p>
        </w:tc>
        <w:tc>
          <w:tcPr>
            <w:tcW w:w="2000" w:type="pct"/>
            <w:shd w:val="clear" w:color="auto" w:fill="FFFFFF"/>
            <w:noWrap w:val="0"/>
            <w:tcMar>
              <w:top w:w="60" w:type="dxa"/>
            </w:tcMar>
            <w:vAlign w:val="top"/>
          </w:tcPr>
          <w:p>
            <w:pPr>
              <w:jc w:val="left"/>
              <w:rPr>
                <w:b w:val="0"/>
                <w:i w:val="0"/>
                <w:sz w:val="16"/>
              </w:rPr>
            </w:pPr>
            <w:r>
              <w:rPr>
                <w:b w:val="0"/>
                <w:i w:val="0"/>
                <w:sz w:val="16"/>
              </w:rPr>
              <w:t>17-04-2019</w:t>
            </w:r>
          </w:p>
        </w:tc>
        <w:tc>
          <w:tcPr>
            <w:tcW w:w="2000" w:type="pct"/>
            <w:shd w:val="clear" w:color="auto" w:fill="FFFFFF"/>
            <w:noWrap w:val="0"/>
            <w:tcMar>
              <w:top w:w="60" w:type="dxa"/>
            </w:tcMar>
            <w:vAlign w:val="top"/>
          </w:tcPr>
          <w:p>
            <w:pPr>
              <w:jc w:val="left"/>
              <w:rPr>
                <w:b w:val="0"/>
                <w:i w:val="0"/>
                <w:sz w:val="16"/>
              </w:rPr>
            </w:pPr>
            <w:r>
              <w:rPr>
                <w:b w:val="0"/>
                <w:i w:val="0"/>
                <w:sz w:val="16"/>
              </w:rPr>
              <w:t>nstaykts</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DD0DA384-007E-4190-ADCF-04DF6F398CB4}"/>
    <w:embedBold r:id="rId2" w:fontKey="{14C0D569-72E8-4A0D-9C07-1F40955F8C93}"/>
    <w:embedItalic r:id="rId3" w:fontKey="{6856F2D4-2EF4-40E7-BCB3-6543761D3DEB}"/>
    <w:embedBoldItalic r:id="rId4" w:fontKey="{7DE2B227-8829-4993-9FCF-2F6B03DBD572}"/>
  </w:font>
  <w:font w:name="Symbol">
    <w:panose1 w:val="05050102010706020507"/>
    <w:charset w:val="02"/>
    <w:family w:val="roman"/>
    <w:pitch w:val="variable"/>
    <w:sig w:usb0="00000000" w:usb1="10000000" w:usb2="00000000" w:usb3="00000000" w:csb0="80000000" w:csb1="00000000"/>
    <w:embedRegular r:id="rId5" w:fontKey="{849F4173-8DA0-4D53-8395-5D05E3CD017A}"/>
  </w:font>
  <w:font w:name="Arial">
    <w:panose1 w:val="020B0604020202020204"/>
    <w:charset w:val="00"/>
    <w:family w:val="swiss"/>
    <w:pitch w:val="variable"/>
    <w:sig w:usb0="E0002AFF" w:usb1="C0007843" w:usb2="00000009" w:usb3="00000000" w:csb0="000001FF" w:csb1="00000000"/>
    <w:embedRegular r:id="rId6" w:fontKey="{DA7AE75E-89BD-4317-9901-B29B4BC9E99C}"/>
    <w:embedBold r:id="rId7" w:fontKey="{3785CF1A-D449-4065-B8FC-D786A289AB2E}"/>
    <w:embedItalic r:id="rId8" w:fontKey="{EA0ABB1F-E0EC-4AEF-9F84-0D8509435749}"/>
  </w:font>
  <w:font w:name="Calibri">
    <w:panose1 w:val="020F0502020204030204"/>
    <w:charset w:val="00"/>
    <w:family w:val="swiss"/>
    <w:pitch w:val="variable"/>
    <w:sig w:usb0="E10002FF" w:usb1="4000ACFF" w:usb2="00000009" w:usb3="00000000" w:csb0="0000019F" w:csb1="00000000"/>
    <w:embedRegular r:id="rId9" w:fontKey="{983DE48C-0D01-4181-BAF6-3CBF52512EBD}"/>
  </w:font>
  <w:font w:name="Tahoma">
    <w:panose1 w:val="020B0604030504040204"/>
    <w:charset w:val="00"/>
    <w:family w:val="swiss"/>
    <w:pitch w:val="variable"/>
    <w:sig w:usb0="E1002EFF" w:usb1="C000605B" w:usb2="00000029" w:usb3="00000000" w:csb0="000101FF" w:csb1="00000000"/>
    <w:embedRegular r:id="rId10" w:fontKey="{2ACCECFC-3D06-4763-A7D3-35C1D522AC31}"/>
  </w:font>
  <w:font w:name="Courier New">
    <w:panose1 w:val="02070309020205020404"/>
    <w:charset w:val="00"/>
    <w:family w:val="modern"/>
    <w:pitch w:val="fixed"/>
    <w:sig w:usb0="E0002AFF" w:usb1="C0007843" w:usb2="00000009" w:usb3="00000000" w:csb0="000001FF" w:csb1="00000000"/>
    <w:embedRegular r:id="rId11" w:fontKey="{C1B75F06-7AF0-42BE-B17C-E84A7F025E14}"/>
  </w:font>
  <w:font w:name="Wingdings">
    <w:charset w:val="00"/>
    <w:family w:val="auto"/>
    <w:pitch w:val="default"/>
    <w:sig w:usb0="00000000" w:usb1="00000000" w:usb2="00000000" w:usb3="00000000" w:csb0="00000001" w:csb1="00000000"/>
    <w:embedRegular r:id="rId12" w:fontKey="{D1F3DF79-58F6-4B28-B169-E212F06A6D7A}"/>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853</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lvl w:ilvl="0">
      <w:start w:val="1"/>
      <w:numFmt w:val="decimal"/>
      <w:suff w:val="space"/>
      <w:lvlText w:val="%1."/>
      <w:lvlJc w:val="left"/>
      <w:pPr>
        <w:ind w:left="357" w:hanging="357"/>
      </w:pPr>
      <w:rPr>
        <w:rFonts w:hint="default"/>
      </w:rPr>
    </w:lvl>
    <w:lvl w:ilvl="1">
      <w:start w:val="1"/>
      <w:numFmt w:val="decimal"/>
      <w:suff w:val="space"/>
      <w:lvlText w:val="%1.%2."/>
      <w:lvlJc w:val="left"/>
      <w:pPr>
        <w:ind w:left="714" w:hanging="357"/>
      </w:pPr>
      <w:rPr>
        <w:rFonts w:hint="default"/>
      </w:rPr>
    </w:lvl>
    <w:lvl w:ilvl="2">
      <w:start w:val="1"/>
      <w:numFmt w:val="decimal"/>
      <w:suff w:val="space"/>
      <w:lvlText w:val="%1.%2.%3."/>
      <w:lvlJc w:val="left"/>
      <w:pPr>
        <w:ind w:left="1071" w:hanging="357"/>
      </w:pPr>
      <w:rPr>
        <w:rFonts w:hint="default"/>
        <w:color w:val="auto"/>
      </w:rPr>
    </w:lvl>
    <w:lvl w:ilvl="3">
      <w:start w:val="1"/>
      <w:numFmt w:val="decimal"/>
      <w:suff w:val="space"/>
      <w:lvlText w:val="%1.%2.%3.%4."/>
      <w:lvlJc w:val="left"/>
      <w:pPr>
        <w:ind w:left="1428" w:hanging="357"/>
      </w:pPr>
      <w:rPr>
        <w:rFonts w:hint="default"/>
      </w:rPr>
    </w:lvl>
    <w:lvl w:ilvl="4">
      <w:start w:val="1"/>
      <w:numFmt w:val="decimal"/>
      <w:suff w:val="space"/>
      <w:lvlText w:val="%1.%2.%3.%4.%5."/>
      <w:lvlJc w:val="left"/>
      <w:pPr>
        <w:ind w:left="1785" w:hanging="357"/>
      </w:pPr>
      <w:rPr>
        <w:rFonts w:hint="default"/>
      </w:rPr>
    </w:lvl>
    <w:lvl w:ilvl="5">
      <w:start w:val="1"/>
      <w:numFmt w:val="decimal"/>
      <w:suff w:val="space"/>
      <w:lvlText w:val="%1.%2.%3.%4.%5.%6."/>
      <w:lvlJc w:val="left"/>
      <w:pPr>
        <w:ind w:left="2142" w:hanging="357"/>
      </w:pPr>
      <w:rPr>
        <w:rFonts w:hint="default"/>
      </w:rPr>
    </w:lvl>
    <w:lvl w:ilvl="6">
      <w:start w:val="1"/>
      <w:numFmt w:val="decimal"/>
      <w:suff w:val="space"/>
      <w:lvlText w:val="%1.%2.%3.%4.%5.%6.%7."/>
      <w:lvlJc w:val="left"/>
      <w:pPr>
        <w:ind w:left="2499" w:hanging="357"/>
      </w:pPr>
      <w:rPr>
        <w:rFonts w:hint="default"/>
      </w:rPr>
    </w:lvl>
    <w:lvl w:ilvl="7">
      <w:start w:val="1"/>
      <w:numFmt w:val="decimal"/>
      <w:suff w:val="space"/>
      <w:lvlText w:val="%1.%2.%3.%4.%5.%6.%7.%8."/>
      <w:lvlJc w:val="left"/>
      <w:pPr>
        <w:ind w:left="2856" w:hanging="357"/>
      </w:pPr>
      <w:rPr>
        <w:rFonts w:hint="default"/>
      </w:rPr>
    </w:lvl>
    <w:lvl w:ilvl="8">
      <w:start w:val="1"/>
      <w:numFmt w:val="decimal"/>
      <w:suff w:val="space"/>
      <w:lvlText w:val="%1.%2.%3.%4.%5.%6.%7.%8.%9."/>
      <w:lvlJc w:val="left"/>
      <w:pPr>
        <w:ind w:left="3213" w:hanging="357"/>
      </w:pPr>
      <w:rPr>
        <w:rFonts w:hint="default"/>
      </w:rPr>
    </w:lvl>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multilevel"/>
    <w:tmpl w:val="722304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722304DA"/>
    <w:multiLevelType w:val="multilevel"/>
    <w:tmpl w:val="722304D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hybridMultilevel"/>
    <w:tmpl w:val="722305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6">
    <w:nsid w:val="72230535"/>
    <w:multiLevelType w:val="hybridMultilevel"/>
    <w:tmpl w:val="722305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7">
    <w:nsid w:val="72230536"/>
    <w:multiLevelType w:val="hybridMultilevel"/>
    <w:tmpl w:val="722305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8">
    <w:nsid w:val="72230537"/>
    <w:multiLevelType w:val="multilevel"/>
    <w:tmpl w:val="7223053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nsid w:val="72230538"/>
    <w:multiLevelType w:val="multilevel"/>
    <w:tmpl w:val="7223053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0">
    <w:nsid w:val="72230539"/>
    <w:multiLevelType w:val="multilevel"/>
    <w:tmpl w:val="7223053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1">
    <w:nsid w:val="7223053A"/>
    <w:multiLevelType w:val="multilevel"/>
    <w:tmpl w:val="7223053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2">
    <w:nsid w:val="7223053B"/>
    <w:multiLevelType w:val="hybridMultilevel"/>
    <w:tmpl w:val="722305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3">
    <w:nsid w:val="7223053C"/>
    <w:multiLevelType w:val="hybridMultilevel"/>
    <w:tmpl w:val="722305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4">
    <w:nsid w:val="7223053D"/>
    <w:multiLevelType w:val="hybridMultilevel"/>
    <w:tmpl w:val="722305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5">
    <w:nsid w:val="7223053E"/>
    <w:multiLevelType w:val="hybridMultilevel"/>
    <w:tmpl w:val="7223053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multilevel"/>
    <w:tmpl w:val="7223053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multilevel"/>
    <w:tmpl w:val="7223054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hybridMultilevel"/>
    <w:tmpl w:val="722305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multilevel"/>
    <w:tmpl w:val="722305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hybridMultilevel"/>
    <w:tmpl w:val="7223054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7">
    <w:nsid w:val="7223054A"/>
    <w:multiLevelType w:val="hybridMultilevel"/>
    <w:tmpl w:val="722305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multilevel"/>
    <w:tmpl w:val="7223054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0">
    <w:nsid w:val="7223054D"/>
    <w:multiLevelType w:val="hybridMultilevel"/>
    <w:tmpl w:val="7223054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multilevel"/>
    <w:tmpl w:val="7223055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4">
    <w:nsid w:val="72230551"/>
    <w:multiLevelType w:val="multilevel"/>
    <w:tmpl w:val="7223055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5">
    <w:nsid w:val="72230552"/>
    <w:multiLevelType w:val="hybridMultilevel"/>
    <w:tmpl w:val="7223055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hybridMultilevel"/>
    <w:tmpl w:val="722305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8">
    <w:nsid w:val="72230555"/>
    <w:multiLevelType w:val="hybridMultilevel"/>
    <w:tmpl w:val="722305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multilevel"/>
    <w:tmpl w:val="7223055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multilevel"/>
    <w:tmpl w:val="7223055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6">
    <w:nsid w:val="7223055D"/>
    <w:multiLevelType w:val="hybridMultilevel"/>
    <w:tmpl w:val="7223055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hybridMultilevel"/>
    <w:tmpl w:val="722305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o"/>
      <w:lvlJc w:val="left"/>
      <w:pPr>
        <w:tabs>
          <w:tab w:val="num" w:pos="720"/>
        </w:tabs>
        <w:ind w:left="720" w:hanging="360"/>
      </w:pPr>
      <w:rPr>
        <w:rFonts w:ascii="Courier New" w:hAnsi="Courier New"/>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multilevel"/>
    <w:tmpl w:val="7223056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6">
    <w:nsid w:val="72230567"/>
    <w:multiLevelType w:val="multilevel"/>
    <w:tmpl w:val="7223056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multilevel"/>
    <w:tmpl w:val="722305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9">
    <w:nsid w:val="7223056A"/>
    <w:multiLevelType w:val="multilevel"/>
    <w:tmpl w:val="7223056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0">
    <w:nsid w:val="7223056B"/>
    <w:multiLevelType w:val="hybridMultilevel"/>
    <w:tmpl w:val="7223056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multilevel"/>
    <w:tmpl w:val="7223056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2">
    <w:nsid w:val="7223056D"/>
    <w:multiLevelType w:val="hybridMultilevel"/>
    <w:tmpl w:val="7223056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hybridMultilevel"/>
    <w:tmpl w:val="722305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5">
    <w:nsid w:val="72230570"/>
    <w:multiLevelType w:val="hybridMultilevel"/>
    <w:tmpl w:val="722305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6">
    <w:nsid w:val="72230571"/>
    <w:multiLevelType w:val="multilevel"/>
    <w:tmpl w:val="7223057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7">
    <w:nsid w:val="72230572"/>
    <w:multiLevelType w:val="hybridMultilevel"/>
    <w:tmpl w:val="722305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8">
    <w:nsid w:val="72230573"/>
    <w:multiLevelType w:val="multilevel"/>
    <w:tmpl w:val="722305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nsid w:val="72230574"/>
    <w:multiLevelType w:val="multilevel"/>
    <w:tmpl w:val="7223057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0">
    <w:nsid w:val="72230575"/>
    <w:multiLevelType w:val="multilevel"/>
    <w:tmpl w:val="7223057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1">
    <w:nsid w:val="72230576"/>
    <w:multiLevelType w:val="hybridMultilevel"/>
    <w:tmpl w:val="722305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hybridMultilevel"/>
    <w:tmpl w:val="7223057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4">
    <w:nsid w:val="72230579"/>
    <w:multiLevelType w:val="hybridMultilevel"/>
    <w:tmpl w:val="722305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5">
    <w:nsid w:val="7223057A"/>
    <w:multiLevelType w:val="hybridMultilevel"/>
    <w:tmpl w:val="722305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6">
    <w:nsid w:val="7223057B"/>
    <w:multiLevelType w:val="hybridMultilevel"/>
    <w:tmpl w:val="7223057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multilevel"/>
    <w:tmpl w:val="7223057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8">
    <w:nsid w:val="7223057D"/>
    <w:multiLevelType w:val="hybridMultilevel"/>
    <w:tmpl w:val="722305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9">
    <w:nsid w:val="7223057E"/>
    <w:multiLevelType w:val="hybridMultilevel"/>
    <w:tmpl w:val="722305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0">
    <w:nsid w:val="7223057F"/>
    <w:multiLevelType w:val="hybridMultilevel"/>
    <w:tmpl w:val="722305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1">
    <w:nsid w:val="72230580"/>
    <w:multiLevelType w:val="hybridMultilevel"/>
    <w:tmpl w:val="7223058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2">
    <w:nsid w:val="72230581"/>
    <w:multiLevelType w:val="hybridMultilevel"/>
    <w:tmpl w:val="722305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hybridMultilevel"/>
    <w:tmpl w:val="722305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7">
    <w:nsid w:val="72230586"/>
    <w:multiLevelType w:val="hybridMultilevel"/>
    <w:tmpl w:val="722305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hybridMultilevel"/>
    <w:tmpl w:val="722305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0">
    <w:nsid w:val="72230589"/>
    <w:multiLevelType w:val="hybridMultilevel"/>
    <w:tmpl w:val="7223058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multilevel"/>
    <w:tmpl w:val="722305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hybridMultilevel"/>
    <w:tmpl w:val="722305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8">
    <w:nsid w:val="72230591"/>
    <w:multiLevelType w:val="hybridMultilevel"/>
    <w:tmpl w:val="7223059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hybridMultilevel"/>
    <w:tmpl w:val="722305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9">
    <w:nsid w:val="7223059C"/>
    <w:multiLevelType w:val="multilevel"/>
    <w:tmpl w:val="7223059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hybridMultilevel"/>
    <w:tmpl w:val="722305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multilevel"/>
    <w:tmpl w:val="722305C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multilevel"/>
    <w:tmpl w:val="722305C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8">
    <w:nsid w:val="722305CD"/>
    <w:multiLevelType w:val="hybridMultilevel"/>
    <w:tmpl w:val="722305C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multilevel"/>
    <w:tmpl w:val="722305D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multilevel"/>
    <w:tmpl w:val="722305D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4">
    <w:nsid w:val="722305D3"/>
    <w:multiLevelType w:val="hybridMultilevel"/>
    <w:tmpl w:val="722305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5">
    <w:nsid w:val="722305D4"/>
    <w:multiLevelType w:val="hybridMultilevel"/>
    <w:tmpl w:val="722305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hybridMultilevel"/>
    <w:tmpl w:val="722305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9">
    <w:nsid w:val="722305D8"/>
    <w:multiLevelType w:val="hybridMultilevel"/>
    <w:tmpl w:val="722305D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hybridMultilevel"/>
    <w:tmpl w:val="722305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multilevel"/>
    <w:tmpl w:val="722305D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multilevel"/>
    <w:tmpl w:val="722305D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hybridMultilevel"/>
    <w:tmpl w:val="722305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hybridMultilevel"/>
    <w:tmpl w:val="722305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multilevel"/>
    <w:tmpl w:val="722305E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multilevel"/>
    <w:tmpl w:val="722305E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8">
    <w:nsid w:val="722305EB"/>
    <w:multiLevelType w:val="hybridMultilevel"/>
    <w:tmpl w:val="722305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multilevel"/>
    <w:tmpl w:val="722305E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hybridMultilevel"/>
    <w:tmpl w:val="722305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hybridMultilevel"/>
    <w:tmpl w:val="722305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7">
    <w:nsid w:val="722305F4"/>
    <w:multiLevelType w:val="hybridMultilevel"/>
    <w:tmpl w:val="722305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multilevel"/>
    <w:tmpl w:val="722305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1">
    <w:nsid w:val="722305F8"/>
    <w:multiLevelType w:val="hybridMultilevel"/>
    <w:tmpl w:val="722305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2">
    <w:nsid w:val="722305F9"/>
    <w:multiLevelType w:val="hybridMultilevel"/>
    <w:tmpl w:val="722305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hybridMultilevel"/>
    <w:tmpl w:val="722305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multilevel"/>
    <w:tmpl w:val="7223060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1">
    <w:nsid w:val="72230602"/>
    <w:multiLevelType w:val="multilevel"/>
    <w:tmpl w:val="7223060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multilevel"/>
    <w:tmpl w:val="7223060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4">
    <w:nsid w:val="72230605"/>
    <w:multiLevelType w:val="multilevel"/>
    <w:tmpl w:val="7223060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hybridMultilevel"/>
    <w:tmpl w:val="7223064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hybridMultilevel"/>
    <w:tmpl w:val="722306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3">
    <w:nsid w:val="72230654"/>
    <w:multiLevelType w:val="hybridMultilevel"/>
    <w:tmpl w:val="7223065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multilevel"/>
    <w:tmpl w:val="7223065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multilevel"/>
    <w:tmpl w:val="7223065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4">
    <w:nsid w:val="7223065F"/>
    <w:multiLevelType w:val="multilevel"/>
    <w:tmpl w:val="7223065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hybridMultilevel"/>
    <w:tmpl w:val="722306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hybridMultilevel"/>
    <w:tmpl w:val="722306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hybridMultilevel"/>
    <w:tmpl w:val="722306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multilevel"/>
    <w:tmpl w:val="7223066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multilevel"/>
    <w:tmpl w:val="722306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multilevel"/>
    <w:tmpl w:val="7223067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hybridMultilevel"/>
    <w:tmpl w:val="7223067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multilevel"/>
    <w:tmpl w:val="722306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multilevel"/>
    <w:tmpl w:val="722306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53">
    <w:nsid w:val="72230686"/>
    <w:multiLevelType w:val="hybridMultilevel"/>
    <w:tmpl w:val="7223068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hybridMultilevel"/>
    <w:tmpl w:val="722306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1">
    <w:nsid w:val="7223068E"/>
    <w:multiLevelType w:val="hybridMultilevel"/>
    <w:tmpl w:val="722306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hybridMultilevel"/>
    <w:tmpl w:val="722306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multilevel"/>
    <w:tmpl w:val="7223069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multilevel"/>
    <w:tmpl w:val="7223069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2">
    <w:nsid w:val="72230699"/>
    <w:multiLevelType w:val="multilevel"/>
    <w:tmpl w:val="7223069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3">
    <w:nsid w:val="7223069A"/>
    <w:multiLevelType w:val="hybridMultilevel"/>
    <w:tmpl w:val="722306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multilevel"/>
    <w:tmpl w:val="7223069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8">
    <w:nsid w:val="7223069F"/>
    <w:multiLevelType w:val="hybridMultilevel"/>
    <w:tmpl w:val="722306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multilevel"/>
    <w:tmpl w:val="722306A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hybridMultilevel"/>
    <w:tmpl w:val="722306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multilevel"/>
    <w:tmpl w:val="722306A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9">
    <w:nsid w:val="722306AA"/>
    <w:multiLevelType w:val="hybridMultilevel"/>
    <w:tmpl w:val="722306A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multilevel"/>
    <w:tmpl w:val="722306A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hybridMultilevel"/>
    <w:tmpl w:val="722306C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2">
    <w:nsid w:val="722306CB"/>
    <w:multiLevelType w:val="hybridMultilevel"/>
    <w:tmpl w:val="722306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3">
    <w:nsid w:val="722306CC"/>
    <w:multiLevelType w:val="hybridMultilevel"/>
    <w:tmpl w:val="722306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4">
    <w:nsid w:val="722306CD"/>
    <w:multiLevelType w:val="hybridMultilevel"/>
    <w:tmpl w:val="722306C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5">
    <w:nsid w:val="722306CE"/>
    <w:multiLevelType w:val="hybridMultilevel"/>
    <w:tmpl w:val="722306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multilevel"/>
    <w:tmpl w:val="722306D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hybridMultilevel"/>
    <w:tmpl w:val="722306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multilevel"/>
    <w:tmpl w:val="722306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6">
    <w:nsid w:val="722306E3"/>
    <w:multiLevelType w:val="multilevel"/>
    <w:tmpl w:val="722306E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7">
    <w:nsid w:val="722306E4"/>
    <w:multiLevelType w:val="multilevel"/>
    <w:tmpl w:val="722306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8">
    <w:nsid w:val="722306E5"/>
    <w:multiLevelType w:val="multilevel"/>
    <w:tmpl w:val="722306E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hybridMultilevel"/>
    <w:tmpl w:val="722306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2">
    <w:nsid w:val="722306E9"/>
    <w:multiLevelType w:val="hybridMultilevel"/>
    <w:tmpl w:val="722306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3">
    <w:nsid w:val="722306EA"/>
    <w:multiLevelType w:val="hybridMultilevel"/>
    <w:tmpl w:val="722306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4">
    <w:nsid w:val="722306EB"/>
    <w:multiLevelType w:val="hybridMultilevel"/>
    <w:tmpl w:val="722306E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multilevel"/>
    <w:tmpl w:val="722306F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multilevel"/>
    <w:tmpl w:val="722306F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9">
    <w:nsid w:val="722306FA"/>
    <w:multiLevelType w:val="hybridMultilevel"/>
    <w:tmpl w:val="722306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0">
    <w:nsid w:val="722306FB"/>
    <w:multiLevelType w:val="hybridMultilevel"/>
    <w:tmpl w:val="722306F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hybridMultilevel"/>
    <w:tmpl w:val="722306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3">
    <w:nsid w:val="722306FE"/>
    <w:multiLevelType w:val="hybridMultilevel"/>
    <w:tmpl w:val="722306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4">
    <w:nsid w:val="722306FF"/>
    <w:multiLevelType w:val="hybridMultilevel"/>
    <w:tmpl w:val="722306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pn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jpeg" /><Relationship Id="rId22" Type="http://schemas.openxmlformats.org/officeDocument/2006/relationships/numbering" Target="numbering.xml" /><Relationship Id="rId23"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853</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